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rPr>
      </w:pPr>
      <w:bookmarkStart w:id="0" w:name="_heading=h.3znysh7" w:colFirst="0" w:colLast="0"/>
      <w:bookmarkEnd w:id="0"/>
    </w:p>
    <w:p w:rsidR="00897CAC" w:rsidRPr="00D05DC2" w:rsidRDefault="00897CAC" w:rsidP="00897CAC">
      <w:pPr>
        <w:pStyle w:val="Ttulo2"/>
        <w:spacing w:after="100" w:line="252" w:lineRule="auto"/>
        <w:jc w:val="center"/>
        <w:rPr>
          <w:rFonts w:ascii="Frutiger Next Pro" w:hAnsi="Frutiger Next Pro"/>
        </w:rPr>
      </w:pPr>
      <w:bookmarkStart w:id="1" w:name="_heading=h.ezt0rhgh9a5v" w:colFirst="0" w:colLast="0"/>
      <w:bookmarkStart w:id="2" w:name="_heading=h.30j0zll" w:colFirst="0" w:colLast="0"/>
      <w:bookmarkEnd w:id="1"/>
      <w:bookmarkEnd w:id="2"/>
      <w:r w:rsidRPr="00D05DC2">
        <w:rPr>
          <w:rFonts w:ascii="Frutiger Next Pro" w:hAnsi="Frutiger Next Pro"/>
          <w:color w:val="000000"/>
          <w:sz w:val="28"/>
          <w:szCs w:val="28"/>
        </w:rPr>
        <w:t>45</w:t>
      </w:r>
      <w:r w:rsidRPr="00D05DC2">
        <w:rPr>
          <w:rFonts w:ascii="Frutiger Next Pro" w:hAnsi="Frutiger Next Pro"/>
          <w:color w:val="000000"/>
          <w:sz w:val="28"/>
          <w:szCs w:val="28"/>
          <w:vertAlign w:val="superscript"/>
        </w:rPr>
        <w:t>°</w:t>
      </w:r>
      <w:r w:rsidRPr="00D05DC2">
        <w:rPr>
          <w:rFonts w:ascii="Frutiger Next Pro" w:hAnsi="Frutiger Next Pro"/>
          <w:color w:val="000000"/>
          <w:sz w:val="28"/>
          <w:szCs w:val="28"/>
        </w:rPr>
        <w:t xml:space="preserve"> convegno internazionale dell’AFEAF- Gijón (13</w:t>
      </w:r>
      <w:r w:rsidRPr="00D05DC2">
        <w:rPr>
          <w:rFonts w:ascii="Frutiger Next Pro" w:hAnsi="Frutiger Next Pro"/>
          <w:color w:val="000000"/>
        </w:rPr>
        <w:t>-</w:t>
      </w:r>
      <w:r w:rsidRPr="00D05DC2">
        <w:rPr>
          <w:rFonts w:ascii="Frutiger Next Pro" w:hAnsi="Frutiger Next Pro"/>
          <w:color w:val="000000"/>
          <w:sz w:val="28"/>
          <w:szCs w:val="28"/>
        </w:rPr>
        <w:t>15 maggio 2021)</w:t>
      </w:r>
    </w:p>
    <w:p w:rsidR="00897CAC" w:rsidRPr="00D05DC2" w:rsidRDefault="00897CAC" w:rsidP="00897CAC">
      <w:pPr>
        <w:rPr>
          <w:rFonts w:ascii="Frutiger Next Pro" w:hAnsi="Frutiger Next Pro"/>
        </w:rPr>
      </w:pPr>
    </w:p>
    <w:p w:rsidR="00897CAC" w:rsidRPr="00D05DC2" w:rsidRDefault="00897CAC" w:rsidP="00897CAC">
      <w:pPr>
        <w:pStyle w:val="Ttulo2"/>
        <w:spacing w:after="100" w:line="252" w:lineRule="auto"/>
        <w:jc w:val="center"/>
        <w:rPr>
          <w:rFonts w:ascii="Frutiger Next Pro" w:hAnsi="Frutiger Next Pro"/>
        </w:rPr>
      </w:pPr>
      <w:r w:rsidRPr="00D05DC2">
        <w:rPr>
          <w:rFonts w:ascii="Frutiger Next Pro" w:hAnsi="Frutiger Next Pro"/>
          <w:smallCaps/>
          <w:sz w:val="28"/>
          <w:szCs w:val="28"/>
        </w:rPr>
        <w:t xml:space="preserve">L’EUROPA DELLE MATERIE PRIME NEL I MILLENNIO </w:t>
      </w:r>
      <w:r w:rsidRPr="00D05DC2">
        <w:rPr>
          <w:rFonts w:ascii="Frutiger Next Pro" w:hAnsi="Frutiger Next Pro"/>
          <w:sz w:val="28"/>
          <w:szCs w:val="28"/>
        </w:rPr>
        <w:t>a</w:t>
      </w:r>
      <w:r w:rsidRPr="00D05DC2">
        <w:rPr>
          <w:rFonts w:ascii="Frutiger Next Pro" w:hAnsi="Frutiger Next Pro"/>
          <w:smallCaps/>
          <w:sz w:val="28"/>
          <w:szCs w:val="28"/>
        </w:rPr>
        <w:t>.C.</w:t>
      </w:r>
    </w:p>
    <w:p w:rsidR="00897CAC" w:rsidRPr="00D05DC2" w:rsidRDefault="00897CAC" w:rsidP="00897CAC">
      <w:pPr>
        <w:pBdr>
          <w:top w:val="nil"/>
          <w:left w:val="nil"/>
          <w:bottom w:val="nil"/>
          <w:right w:val="nil"/>
          <w:between w:val="nil"/>
        </w:pBdr>
        <w:jc w:val="center"/>
        <w:rPr>
          <w:rFonts w:ascii="Frutiger Next Pro" w:eastAsia="Garamond" w:hAnsi="Frutiger Next Pro" w:cs="Garamond"/>
          <w:b/>
          <w:color w:val="000000"/>
        </w:rPr>
      </w:pPr>
      <w:r w:rsidRPr="00D05DC2">
        <w:rPr>
          <w:rFonts w:ascii="Frutiger Next Pro" w:eastAsia="Garamond" w:hAnsi="Frutiger Next Pro" w:cs="Garamond"/>
          <w:b/>
          <w:color w:val="000000"/>
        </w:rPr>
        <w:t>SFRUTTAMENTO, TRASFORMAZIONE, DIFFUSIONE</w:t>
      </w: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rPr>
      </w:pPr>
    </w:p>
    <w:p w:rsidR="00897CAC" w:rsidRPr="00D05DC2" w:rsidRDefault="00897CAC" w:rsidP="00897CAC">
      <w:pPr>
        <w:pBdr>
          <w:top w:val="nil"/>
          <w:left w:val="nil"/>
          <w:bottom w:val="nil"/>
          <w:right w:val="nil"/>
          <w:between w:val="nil"/>
        </w:pBdr>
        <w:spacing w:after="100"/>
        <w:ind w:firstLine="709"/>
        <w:jc w:val="both"/>
        <w:rPr>
          <w:rFonts w:ascii="Frutiger Next Pro" w:eastAsia="Garamond" w:hAnsi="Frutiger Next Pro" w:cs="Garamond"/>
        </w:rPr>
      </w:pPr>
      <w:r w:rsidRPr="00D05DC2">
        <w:rPr>
          <w:rFonts w:ascii="Frutiger Next Pro" w:eastAsia="Garamond" w:hAnsi="Frutiger Next Pro" w:cs="Garamond"/>
        </w:rPr>
        <w:t xml:space="preserve">Tra la fine dell’età del Bronzo e la conquista dei territori dei Cantabri e degli Asturi ad opera di Augusto, la parte nord-occidentale della penisola iberica è caratterizzata dalla presenza della cosiddetta </w:t>
      </w:r>
      <w:r w:rsidRPr="00D05DC2">
        <w:rPr>
          <w:rFonts w:ascii="Frutiger Next Pro" w:eastAsia="Garamond" w:hAnsi="Frutiger Next Pro" w:cs="Garamond"/>
          <w:i/>
        </w:rPr>
        <w:t>cultura</w:t>
      </w:r>
      <w:r w:rsidRPr="00D05DC2">
        <w:rPr>
          <w:rFonts w:ascii="Frutiger Next Pro" w:eastAsia="Garamond" w:hAnsi="Frutiger Next Pro" w:cs="Garamond"/>
        </w:rPr>
        <w:t xml:space="preserve"> </w:t>
      </w:r>
      <w:r w:rsidRPr="00D05DC2">
        <w:rPr>
          <w:rFonts w:ascii="Frutiger Next Pro" w:eastAsia="Garamond" w:hAnsi="Frutiger Next Pro" w:cs="Garamond"/>
          <w:i/>
        </w:rPr>
        <w:t>c</w:t>
      </w:r>
      <w:r w:rsidRPr="00D05DC2">
        <w:rPr>
          <w:rFonts w:ascii="Frutiger Next Pro" w:eastAsia="Garamond" w:hAnsi="Frutiger Next Pro" w:cs="Garamond"/>
          <w:i/>
          <w:color w:val="000000"/>
        </w:rPr>
        <w:t xml:space="preserve">astreña. </w:t>
      </w:r>
      <w:r w:rsidRPr="00D05DC2">
        <w:rPr>
          <w:rFonts w:ascii="Frutiger Next Pro" w:eastAsia="Garamond" w:hAnsi="Frutiger Next Pro" w:cs="Garamond"/>
          <w:color w:val="000000"/>
        </w:rPr>
        <w:t xml:space="preserve">Il </w:t>
      </w:r>
      <w:r w:rsidRPr="00D05DC2">
        <w:rPr>
          <w:rFonts w:ascii="Frutiger Next Pro" w:eastAsia="Garamond" w:hAnsi="Frutiger Next Pro" w:cs="Garamond"/>
          <w:i/>
          <w:color w:val="000000"/>
        </w:rPr>
        <w:t>castro</w:t>
      </w:r>
      <w:r w:rsidRPr="00D05DC2">
        <w:rPr>
          <w:rFonts w:ascii="Frutiger Next Pro" w:eastAsia="Garamond" w:hAnsi="Frutiger Next Pro" w:cs="Garamond"/>
          <w:color w:val="000000"/>
        </w:rPr>
        <w:t xml:space="preserve"> (</w:t>
      </w:r>
      <w:r w:rsidRPr="00D05DC2">
        <w:rPr>
          <w:rFonts w:ascii="Frutiger Next Pro" w:eastAsia="Garamond" w:hAnsi="Frutiger Next Pro" w:cs="Garamond"/>
          <w:i/>
          <w:color w:val="000000"/>
        </w:rPr>
        <w:t>hillfort</w:t>
      </w:r>
      <w:r w:rsidRPr="00D05DC2">
        <w:rPr>
          <w:rFonts w:ascii="Frutiger Next Pro" w:eastAsia="Garamond" w:hAnsi="Frutiger Next Pro" w:cs="Garamond"/>
          <w:color w:val="000000"/>
        </w:rPr>
        <w:t xml:space="preserve"> o “villaggio fortificato d’altura”) marca apertamente il paesaggio locale e costituisce un elemento caratteristico del sistema socio-economico, nonché culturale, delle comunità indigene. </w:t>
      </w:r>
    </w:p>
    <w:p w:rsidR="00897CAC" w:rsidRPr="00D05DC2" w:rsidRDefault="00897CAC" w:rsidP="00897CAC">
      <w:pPr>
        <w:pBdr>
          <w:top w:val="nil"/>
          <w:left w:val="nil"/>
          <w:bottom w:val="nil"/>
          <w:right w:val="nil"/>
          <w:between w:val="nil"/>
        </w:pBdr>
        <w:spacing w:after="100"/>
        <w:ind w:firstLine="720"/>
        <w:jc w:val="both"/>
        <w:rPr>
          <w:rFonts w:ascii="Frutiger Next Pro" w:eastAsia="Garamond" w:hAnsi="Frutiger Next Pro" w:cs="Garamond"/>
        </w:rPr>
      </w:pPr>
      <w:r w:rsidRPr="00D05DC2">
        <w:rPr>
          <w:rFonts w:ascii="Frutiger Next Pro" w:eastAsia="Garamond" w:hAnsi="Frutiger Next Pro" w:cs="Garamond"/>
        </w:rPr>
        <w:t xml:space="preserve">Tuttavia, nelle Asturie, le evidenze archeologiche non si limitano alla sola presenza di abitati di tipo </w:t>
      </w:r>
      <w:r w:rsidRPr="00D05DC2">
        <w:rPr>
          <w:rFonts w:ascii="Frutiger Next Pro" w:eastAsia="Garamond" w:hAnsi="Frutiger Next Pro" w:cs="Garamond"/>
          <w:i/>
        </w:rPr>
        <w:t xml:space="preserve">castreño. </w:t>
      </w:r>
      <w:r w:rsidRPr="00D05DC2">
        <w:rPr>
          <w:rFonts w:ascii="Frutiger Next Pro" w:eastAsia="Garamond" w:hAnsi="Frutiger Next Pro" w:cs="Garamond"/>
        </w:rPr>
        <w:t xml:space="preserve">La regione si contraddistingue soprattutto per l’abbondanza di materie prime, in particolare di metallo, grazie al peculiare contesto geologico e ambientale offerto dalla </w:t>
      </w:r>
      <w:r w:rsidRPr="00D05DC2">
        <w:rPr>
          <w:rFonts w:ascii="Frutiger Next Pro" w:eastAsia="Garamond" w:hAnsi="Frutiger Next Pro" w:cs="Garamond"/>
          <w:i/>
          <w:color w:val="000000"/>
        </w:rPr>
        <w:t>Cordillera Cantabr</w:t>
      </w:r>
      <w:r w:rsidRPr="00D05DC2">
        <w:rPr>
          <w:rFonts w:ascii="Frutiger Next Pro" w:eastAsia="Garamond" w:hAnsi="Frutiger Next Pro" w:cs="Garamond"/>
          <w:i/>
        </w:rPr>
        <w:t>ica</w:t>
      </w:r>
      <w:r w:rsidRPr="00D05DC2">
        <w:rPr>
          <w:rFonts w:ascii="Frutiger Next Pro" w:eastAsia="Garamond" w:hAnsi="Frutiger Next Pro" w:cs="Garamond"/>
        </w:rPr>
        <w:t>, un’erta e scoscesa catena montagnosa che fiancheggia il litorale. Questa presenza è all’origine di una lunga tradizione di sfruttamento e di trasformazione delle risorse disponibili, in particolare del rame nativo e dell’oro. Le ricerche in corso, focalizzate su un lungo periodo che va dal Calcolitico all’epoca romana, stanno rivoluzionando le nostre conoscenze in materia. Tra gli approcci innovativi, possiamo citare la caratterizzazione isotopica dei minerali, l’analisi del DNA estratto dai resti scheletrici degli antichi minatori, oppure lo studio dettagliato delle strutture consacrate all’estrazione e allo sfruttamento delle materie prime. Inoltre, lo scavo degli abitati situati in prossimità delle miniere d’oro ha permesso di caratterizzare le pratiche artigianali, rendendo conto della loro complessità, ma anche di riflettere sull’organizzazione sociale e territoriale delle comunità indigene prima della romanizzazione.</w:t>
      </w:r>
    </w:p>
    <w:p w:rsidR="00897CAC" w:rsidRPr="00D05DC2" w:rsidRDefault="00897CAC" w:rsidP="00897CAC">
      <w:pPr>
        <w:pBdr>
          <w:top w:val="nil"/>
          <w:left w:val="nil"/>
          <w:bottom w:val="nil"/>
          <w:right w:val="nil"/>
          <w:between w:val="nil"/>
        </w:pBdr>
        <w:spacing w:after="100"/>
        <w:ind w:firstLine="720"/>
        <w:jc w:val="both"/>
        <w:rPr>
          <w:rFonts w:ascii="Frutiger Next Pro" w:eastAsia="Garamond" w:hAnsi="Frutiger Next Pro" w:cs="Garamond"/>
        </w:rPr>
      </w:pPr>
      <w:r w:rsidRPr="00D05DC2">
        <w:rPr>
          <w:rFonts w:ascii="Frutiger Next Pro" w:eastAsia="Garamond" w:hAnsi="Frutiger Next Pro" w:cs="Garamond"/>
        </w:rPr>
        <w:t>Il tema de 45° convegno dell’AFEAF, che si terrà a Gijón (Spagna), sarà dunque incentrato sulle materie prime in Europa e sulle pratiche che sono a loro associate: estrazione, sfruttamento, trasformazione, impatto sulla società e gestione delle loro differenti forme (materie grezze, lingotti, residui artigianali, oggetti e prodotti finiti, conoscenze tecniche, aspetti logistici e strutturali, impatto ambientale). Il convegno sarà organizzato in tre sessioni tematiche. Due scale d’analisi saranno privilegiate: la scala regionale e quella europea. Questi due approcci analitici saranno messi a confronto per valorizzare il dibattito scientifico e potranno avvalersi di diversi esempi, casi-studio e tipi d’analisi. Le tematiche discusse nel convegno riguarderanno un arco cronologico che comprende l’intero I millennio a.C.</w:t>
      </w:r>
    </w:p>
    <w:p w:rsidR="00897CAC" w:rsidRPr="00D05DC2" w:rsidRDefault="00897CAC" w:rsidP="00897CAC">
      <w:pPr>
        <w:pBdr>
          <w:top w:val="nil"/>
          <w:left w:val="nil"/>
          <w:bottom w:val="nil"/>
          <w:right w:val="nil"/>
          <w:between w:val="nil"/>
        </w:pBdr>
        <w:spacing w:after="100" w:line="252" w:lineRule="auto"/>
        <w:ind w:firstLine="720"/>
        <w:jc w:val="both"/>
        <w:rPr>
          <w:rFonts w:ascii="Frutiger Next Pro" w:eastAsia="Garamond" w:hAnsi="Frutiger Next Pro" w:cs="Garamond"/>
        </w:rPr>
      </w:pPr>
      <w:r w:rsidRPr="00D05DC2">
        <w:rPr>
          <w:rFonts w:ascii="Frutiger Next Pro" w:hAnsi="Frutiger Next Pro"/>
        </w:rPr>
        <w:br w:type="page"/>
      </w:r>
    </w:p>
    <w:p w:rsidR="00897CAC" w:rsidRPr="00D05DC2" w:rsidRDefault="00897CAC" w:rsidP="00897CAC">
      <w:pPr>
        <w:pStyle w:val="Ttulo2"/>
        <w:spacing w:after="100" w:line="252" w:lineRule="auto"/>
        <w:rPr>
          <w:rFonts w:ascii="Frutiger Next Pro" w:hAnsi="Frutiger Next Pro"/>
          <w:b w:val="0"/>
        </w:rPr>
      </w:pPr>
    </w:p>
    <w:p w:rsidR="00897CAC" w:rsidRPr="00D05DC2" w:rsidRDefault="00897CAC" w:rsidP="00897CAC">
      <w:pPr>
        <w:pStyle w:val="Ttulo2"/>
        <w:spacing w:after="100" w:line="252" w:lineRule="auto"/>
        <w:jc w:val="center"/>
        <w:rPr>
          <w:rFonts w:ascii="Frutiger Next Pro" w:hAnsi="Frutiger Next Pro"/>
        </w:rPr>
      </w:pPr>
      <w:r w:rsidRPr="00897CAC">
        <w:rPr>
          <w:rFonts w:ascii="Frutiger Next Pro" w:hAnsi="Frutiger Next Pro"/>
          <w:b w:val="0"/>
          <w:sz w:val="28"/>
          <w:szCs w:val="28"/>
        </w:rPr>
        <w:t>Sessione 1.</w:t>
      </w:r>
      <w:r w:rsidRPr="003D0DB7">
        <w:rPr>
          <w:rFonts w:ascii="Frutiger Next Pro" w:hAnsi="Frutiger Next Pro"/>
        </w:rPr>
        <w:t xml:space="preserve"> </w:t>
      </w:r>
      <w:r w:rsidRPr="00897CAC">
        <w:rPr>
          <w:rFonts w:ascii="Frutiger Next Pro" w:hAnsi="Frutiger Next Pro"/>
          <w:sz w:val="28"/>
          <w:szCs w:val="28"/>
        </w:rPr>
        <w:t>MATERIE PRIME</w:t>
      </w:r>
    </w:p>
    <w:p w:rsidR="00897CAC" w:rsidRPr="003D0DB7" w:rsidRDefault="00897CAC" w:rsidP="00897CAC">
      <w:pPr>
        <w:pBdr>
          <w:top w:val="nil"/>
          <w:left w:val="nil"/>
          <w:bottom w:val="nil"/>
          <w:right w:val="nil"/>
          <w:between w:val="nil"/>
        </w:pBdr>
        <w:spacing w:after="100" w:line="252" w:lineRule="auto"/>
        <w:jc w:val="center"/>
        <w:rPr>
          <w:rFonts w:ascii="Frutiger Next Pro" w:eastAsia="Garamond" w:hAnsi="Frutiger Next Pro" w:cs="Garamond"/>
          <w:color w:val="000000"/>
          <w:sz w:val="26"/>
          <w:szCs w:val="26"/>
        </w:rPr>
      </w:pPr>
      <w:r w:rsidRPr="003D0DB7">
        <w:rPr>
          <w:rFonts w:ascii="Frutiger Next Pro" w:eastAsia="Garamond" w:hAnsi="Frutiger Next Pro" w:cs="Garamond"/>
          <w:b/>
          <w:color w:val="000000"/>
          <w:sz w:val="26"/>
          <w:szCs w:val="26"/>
        </w:rPr>
        <w:t>Sfruttamento, trasformazione, caratterizzazione, artigianato</w:t>
      </w:r>
    </w:p>
    <w:p w:rsidR="00897CAC" w:rsidRPr="003D0DB7" w:rsidRDefault="00897CAC" w:rsidP="00897CAC">
      <w:pPr>
        <w:pBdr>
          <w:top w:val="nil"/>
          <w:left w:val="nil"/>
          <w:bottom w:val="nil"/>
          <w:right w:val="nil"/>
          <w:between w:val="nil"/>
        </w:pBdr>
        <w:spacing w:before="200"/>
        <w:ind w:firstLine="720"/>
        <w:jc w:val="both"/>
        <w:rPr>
          <w:rFonts w:ascii="Frutiger Next Pro" w:eastAsia="Garamond" w:hAnsi="Frutiger Next Pro" w:cs="Garamond"/>
        </w:rPr>
      </w:pPr>
      <w:r w:rsidRPr="003D0DB7">
        <w:rPr>
          <w:rFonts w:ascii="Frutiger Next Pro" w:eastAsia="Garamond" w:hAnsi="Frutiger Next Pro" w:cs="Garamond"/>
        </w:rPr>
        <w:t>La tematica di questa sessione ruota attorno alle problematiche legate alla provenienza, alla trasformazione e alla diffusione delle risorse naturali da parte delle comunità preistoriche. Si tratterà innanzitutto di presentare e discutere la grande diversità di materie prime sfruttate durante l’età del Ferro, siano esse d’origine biologica, minerale o altro (argille, rocce, lignite, oro, argento, rame, ferro, stagno, piombo, sale, conchiglie, ambra, corallo, ossa, palco di cervo, legno, vegetali, fibre d’origine vegetale/animale, pigmenti, bitume, pece, spezie, vetro, etc.).</w:t>
      </w:r>
    </w:p>
    <w:p w:rsidR="00897CAC" w:rsidRPr="00D05DC2" w:rsidRDefault="00897CAC" w:rsidP="00897CAC">
      <w:pPr>
        <w:pBdr>
          <w:top w:val="nil"/>
          <w:left w:val="nil"/>
          <w:bottom w:val="nil"/>
          <w:right w:val="nil"/>
          <w:between w:val="nil"/>
        </w:pBdr>
        <w:spacing w:after="100"/>
        <w:ind w:firstLine="720"/>
        <w:jc w:val="both"/>
        <w:rPr>
          <w:rFonts w:ascii="Frutiger Next Pro" w:eastAsia="Garamond" w:hAnsi="Frutiger Next Pro" w:cs="Garamond"/>
        </w:rPr>
      </w:pPr>
      <w:r w:rsidRPr="003D0DB7">
        <w:rPr>
          <w:rFonts w:ascii="Frutiger Next Pro" w:eastAsia="Garamond" w:hAnsi="Frutiger Next Pro" w:cs="Garamond"/>
        </w:rPr>
        <w:t xml:space="preserve">Sarà inoltre accordato grande spazio alle analisi archeometriche e tecnologiche, con l’obiettivo di far luce sulle pratiche artigianali, considerando le catene operative nella loro integralità (dall’estrazione all’oggetto finito). Questo permetterà di discutere le problematiche relative alla provenienza e al contesto culturale delle produzioni materiali. Sarà anche questione d’identificare le tradizioni tecniche, il savoir-faire e le “ricette” artigianali rintracciandone l’evoluzione. </w:t>
      </w: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color w:val="000000"/>
        </w:rPr>
      </w:pPr>
    </w:p>
    <w:p w:rsidR="00897CAC" w:rsidRPr="00D05DC2" w:rsidRDefault="00897CAC" w:rsidP="00897CAC">
      <w:pPr>
        <w:pStyle w:val="Ttulo2"/>
        <w:spacing w:before="0" w:after="100" w:line="252" w:lineRule="auto"/>
        <w:jc w:val="center"/>
        <w:rPr>
          <w:rFonts w:ascii="Frutiger Next Pro" w:hAnsi="Frutiger Next Pro"/>
        </w:rPr>
      </w:pPr>
      <w:r w:rsidRPr="00897CAC">
        <w:rPr>
          <w:rFonts w:ascii="Frutiger Next Pro" w:hAnsi="Frutiger Next Pro"/>
          <w:sz w:val="28"/>
          <w:szCs w:val="28"/>
        </w:rPr>
        <w:t xml:space="preserve">Sessione 2. </w:t>
      </w:r>
      <w:r w:rsidRPr="00897CAC">
        <w:rPr>
          <w:rFonts w:ascii="Frutiger Next Pro" w:hAnsi="Frutiger Next Pro"/>
          <w:b w:val="0"/>
          <w:sz w:val="28"/>
          <w:szCs w:val="28"/>
        </w:rPr>
        <w:t>S</w:t>
      </w:r>
      <w:r w:rsidRPr="003D0DB7">
        <w:rPr>
          <w:rFonts w:ascii="Frutiger Next Pro" w:hAnsi="Frutiger Next Pro"/>
          <w:b w:val="0"/>
          <w:sz w:val="28"/>
          <w:szCs w:val="28"/>
        </w:rPr>
        <w:t>ISTEMI DI SFRUTTAMENTO DELLE RISORSE</w:t>
      </w:r>
    </w:p>
    <w:p w:rsidR="00897CAC" w:rsidRDefault="00897CAC" w:rsidP="00897CAC">
      <w:pPr>
        <w:pStyle w:val="Ttulo2"/>
        <w:spacing w:before="0" w:after="0" w:line="252" w:lineRule="auto"/>
        <w:jc w:val="center"/>
        <w:rPr>
          <w:rFonts w:ascii="Frutiger Next Pro" w:hAnsi="Frutiger Next Pro"/>
          <w:sz w:val="26"/>
          <w:szCs w:val="26"/>
        </w:rPr>
      </w:pPr>
      <w:r w:rsidRPr="003D0DB7">
        <w:rPr>
          <w:rFonts w:ascii="Frutiger Next Pro" w:hAnsi="Frutiger Next Pro"/>
          <w:sz w:val="26"/>
          <w:szCs w:val="26"/>
        </w:rPr>
        <w:t xml:space="preserve">Strutture legate allo sfruttamento o alla trasformazione delle materie </w:t>
      </w:r>
    </w:p>
    <w:p w:rsidR="00897CAC" w:rsidRPr="003D0DB7" w:rsidRDefault="00897CAC" w:rsidP="00897CAC">
      <w:pPr>
        <w:pStyle w:val="Ttulo2"/>
        <w:spacing w:before="0" w:after="100" w:line="252" w:lineRule="auto"/>
        <w:jc w:val="center"/>
        <w:rPr>
          <w:rFonts w:ascii="Frutiger Next Pro" w:hAnsi="Frutiger Next Pro"/>
          <w:color w:val="0070C0"/>
          <w:sz w:val="26"/>
          <w:szCs w:val="26"/>
        </w:rPr>
      </w:pPr>
      <w:r w:rsidRPr="003D0DB7">
        <w:rPr>
          <w:rFonts w:ascii="Frutiger Next Pro" w:hAnsi="Frutiger Next Pro"/>
          <w:sz w:val="26"/>
          <w:szCs w:val="26"/>
        </w:rPr>
        <w:t>e impatto ambientale</w:t>
      </w:r>
    </w:p>
    <w:p w:rsidR="00897CAC" w:rsidRPr="003D0DB7" w:rsidRDefault="00897CAC" w:rsidP="00897CAC">
      <w:pPr>
        <w:pBdr>
          <w:top w:val="nil"/>
          <w:left w:val="nil"/>
          <w:bottom w:val="nil"/>
          <w:right w:val="nil"/>
          <w:between w:val="nil"/>
        </w:pBdr>
        <w:ind w:firstLine="720"/>
        <w:jc w:val="both"/>
        <w:rPr>
          <w:rFonts w:ascii="Frutiger Next Pro" w:eastAsia="Garamond" w:hAnsi="Frutiger Next Pro" w:cs="Garamond"/>
        </w:rPr>
      </w:pPr>
      <w:r w:rsidRPr="003D0DB7">
        <w:rPr>
          <w:rFonts w:ascii="Frutiger Next Pro" w:eastAsia="Garamond" w:hAnsi="Frutiger Next Pro" w:cs="Garamond"/>
        </w:rPr>
        <w:t>La seconda sessione sarà incentrata sullo studio delle strutture legate ai processi di estrazione e trasformazione delle materie prime. Verranno trattate, in primo luogo, tutte le evidenze archeologiche che testimoniano un’attività di produzione: luoghi d’estrazione (ad esempio miniere e cave), officine e laboratori, utensili impiegati.</w:t>
      </w:r>
    </w:p>
    <w:p w:rsidR="00897CAC" w:rsidRPr="003D0DB7" w:rsidRDefault="00897CAC" w:rsidP="00897CAC">
      <w:pPr>
        <w:pBdr>
          <w:top w:val="nil"/>
          <w:left w:val="nil"/>
          <w:bottom w:val="nil"/>
          <w:right w:val="nil"/>
          <w:between w:val="nil"/>
        </w:pBdr>
        <w:spacing w:after="100"/>
        <w:ind w:firstLine="720"/>
        <w:jc w:val="both"/>
        <w:rPr>
          <w:rFonts w:ascii="Frutiger Next Pro" w:eastAsia="Garamond" w:hAnsi="Frutiger Next Pro" w:cs="Garamond"/>
        </w:rPr>
      </w:pPr>
      <w:r w:rsidRPr="003D0DB7">
        <w:rPr>
          <w:rFonts w:ascii="Frutiger Next Pro" w:eastAsia="Garamond" w:hAnsi="Frutiger Next Pro" w:cs="Garamond"/>
        </w:rPr>
        <w:t xml:space="preserve">Sarà anche dedicato ampio spazio ai problemi d’identificazione e d’interpretazione delle evidenze, talvolta di difficile lettura, ma anche all’impatto ambientale legato alle attività di estrazione e trasformazione delle materie prime. Saranno particolarmente apprezzate le riflessioni riguardanti il ruolo di queste strutture e dei loro utilizzatori all’interno dell’organizzazione sociale, nonché la loro evoluzione nel tempo. Si tratterà di definire il ruolo socio-economico dell’artigiano in maniera più accurata e, in un’ottica più ampia, della posizione da lui occupata nelle comunità protostoriche. Quale è l’impatto di queste attività sulla strutturazione sociale e sull’organizzazione architettonica e spaziale dei siti? Particolare attenzione sarà accordata alle trasformazioni e al modellamento del paesaggio, sia alla scala dei singoli siti che dell’intero territorio, attraverso l’analisi dell’impatto dell’azione umana sui suoli, sui processi di sedimentazione e sulle risorse disponibili, comprendendo anche gli indici d’inquinamento e d’impatto ambientale causate dallo sfruttamento delle risorse e dalle attività di produzione. </w:t>
      </w:r>
    </w:p>
    <w:p w:rsidR="00897CAC" w:rsidRDefault="00897CAC" w:rsidP="00897CAC">
      <w:pPr>
        <w:pStyle w:val="Ttulo2"/>
        <w:spacing w:after="100" w:line="252" w:lineRule="auto"/>
        <w:jc w:val="center"/>
        <w:rPr>
          <w:rFonts w:ascii="Frutiger Next Pro" w:hAnsi="Frutiger Next Pro"/>
          <w:b w:val="0"/>
          <w:sz w:val="28"/>
          <w:szCs w:val="28"/>
        </w:rPr>
      </w:pPr>
      <w:bookmarkStart w:id="3" w:name="_heading=h.gjdgxs" w:colFirst="0" w:colLast="0"/>
      <w:bookmarkEnd w:id="3"/>
    </w:p>
    <w:p w:rsidR="00897CAC" w:rsidRPr="00D05DC2" w:rsidRDefault="00897CAC" w:rsidP="00897CAC">
      <w:pPr>
        <w:pStyle w:val="Ttulo2"/>
        <w:spacing w:after="100" w:line="252" w:lineRule="auto"/>
        <w:jc w:val="center"/>
        <w:rPr>
          <w:rFonts w:ascii="Frutiger Next Pro" w:hAnsi="Frutiger Next Pro"/>
        </w:rPr>
      </w:pPr>
      <w:r w:rsidRPr="00897CAC">
        <w:rPr>
          <w:rFonts w:ascii="Frutiger Next Pro" w:hAnsi="Frutiger Next Pro"/>
          <w:b w:val="0"/>
          <w:sz w:val="28"/>
          <w:szCs w:val="28"/>
        </w:rPr>
        <w:t>Sessione 3</w:t>
      </w:r>
      <w:r w:rsidRPr="003D0DB7">
        <w:rPr>
          <w:rFonts w:ascii="Frutiger Next Pro" w:hAnsi="Frutiger Next Pro"/>
        </w:rPr>
        <w:t>.</w:t>
      </w:r>
      <w:r w:rsidRPr="00897CAC">
        <w:rPr>
          <w:rFonts w:ascii="Frutiger Next Pro" w:hAnsi="Frutiger Next Pro"/>
          <w:sz w:val="28"/>
          <w:szCs w:val="28"/>
        </w:rPr>
        <w:t xml:space="preserve"> CIRCOLAZIONE DELLE MATERIE E DEI PRODOTTI</w:t>
      </w:r>
    </w:p>
    <w:p w:rsidR="00897CAC" w:rsidRDefault="00897CAC" w:rsidP="00897CAC">
      <w:pPr>
        <w:pStyle w:val="Ttulo2"/>
        <w:spacing w:before="0" w:after="0" w:line="252" w:lineRule="auto"/>
        <w:jc w:val="center"/>
        <w:rPr>
          <w:rFonts w:ascii="Frutiger Next Pro" w:hAnsi="Frutiger Next Pro"/>
          <w:sz w:val="26"/>
          <w:szCs w:val="26"/>
        </w:rPr>
      </w:pPr>
      <w:r w:rsidRPr="003D0DB7">
        <w:rPr>
          <w:rFonts w:ascii="Frutiger Next Pro" w:hAnsi="Frutiger Next Pro"/>
          <w:sz w:val="26"/>
          <w:szCs w:val="26"/>
        </w:rPr>
        <w:t xml:space="preserve">Modellizzazione, caratterizzazione e organizzazione logistica </w:t>
      </w:r>
    </w:p>
    <w:p w:rsidR="00897CAC" w:rsidRPr="003D0DB7" w:rsidRDefault="00897CAC" w:rsidP="00897CAC">
      <w:pPr>
        <w:pStyle w:val="Ttulo2"/>
        <w:spacing w:before="0" w:after="200" w:line="252" w:lineRule="auto"/>
        <w:jc w:val="center"/>
        <w:rPr>
          <w:rFonts w:ascii="Frutiger Next Pro" w:hAnsi="Frutiger Next Pro"/>
          <w:b w:val="0"/>
          <w:sz w:val="26"/>
          <w:szCs w:val="26"/>
        </w:rPr>
      </w:pPr>
      <w:r w:rsidRPr="003D0DB7">
        <w:rPr>
          <w:rFonts w:ascii="Frutiger Next Pro" w:hAnsi="Frutiger Next Pro"/>
          <w:sz w:val="26"/>
          <w:szCs w:val="26"/>
        </w:rPr>
        <w:t>delle reti di scambio</w:t>
      </w:r>
    </w:p>
    <w:p w:rsidR="00897CAC" w:rsidRPr="00D05DC2" w:rsidRDefault="00897CAC" w:rsidP="00897CAC">
      <w:pPr>
        <w:pBdr>
          <w:top w:val="nil"/>
          <w:left w:val="nil"/>
          <w:bottom w:val="nil"/>
          <w:right w:val="nil"/>
          <w:between w:val="nil"/>
        </w:pBdr>
        <w:spacing w:after="100"/>
        <w:ind w:firstLine="720"/>
        <w:jc w:val="both"/>
        <w:rPr>
          <w:rFonts w:ascii="Frutiger Next Pro" w:eastAsia="Garamond" w:hAnsi="Frutiger Next Pro" w:cs="Garamond"/>
        </w:rPr>
      </w:pPr>
      <w:r w:rsidRPr="00D05DC2">
        <w:rPr>
          <w:rFonts w:ascii="Frutiger Next Pro" w:eastAsia="Garamond" w:hAnsi="Frutiger Next Pro" w:cs="Garamond"/>
        </w:rPr>
        <w:t xml:space="preserve">Questa sessione è legata alle problematiche legate alla circolazione di materie prime e di prodotti trasformati, ma anche di pratiche artigianali. Si tratta di comprendere la mobilità antica a diverse scale d’analisi: dai contatti regionali sino alle reti di scambio europee. La loro modellizzazione spaziale e matematica sarà particolarmente apprezzata. Altre tematiche potranno essere affrontate, come ad esempio l’esistenza di unità ponderali o di unità di valore dei beni, di sistemi di registrazione (dati epigrafici e testuali), le pratiche di socializzazione, l’organizzazione logistica delle reti di scambio (porti, guadi, nodi commerciali) e le diverse pratiche che possono essere associate a questi aspetti e che possono essere individuate a partire da dati archeologicamente e cronologicamente affidabili. </w:t>
      </w: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rPr>
      </w:pPr>
    </w:p>
    <w:p w:rsidR="00897CAC" w:rsidRPr="003D0DB7" w:rsidRDefault="00897CAC" w:rsidP="00897CAC">
      <w:pPr>
        <w:pBdr>
          <w:top w:val="nil"/>
          <w:left w:val="nil"/>
          <w:bottom w:val="nil"/>
          <w:right w:val="nil"/>
          <w:between w:val="nil"/>
        </w:pBdr>
        <w:spacing w:after="100" w:line="252" w:lineRule="auto"/>
        <w:jc w:val="both"/>
        <w:rPr>
          <w:rFonts w:ascii="Frutiger Next Pro" w:eastAsia="Garamond" w:hAnsi="Frutiger Next Pro" w:cs="Garamond"/>
          <w:b/>
        </w:rPr>
      </w:pPr>
      <w:bookmarkStart w:id="4" w:name="_heading=h.2et92p0" w:colFirst="0" w:colLast="0"/>
      <w:bookmarkEnd w:id="4"/>
      <w:r w:rsidRPr="003D0DB7">
        <w:rPr>
          <w:rFonts w:ascii="Frutiger Next Pro" w:eastAsia="Garamond" w:hAnsi="Frutiger Next Pro" w:cs="Garamond"/>
          <w:b/>
        </w:rPr>
        <w:t xml:space="preserve">Le proposte di comunicazione e di poster dovranno pervenire alla segreteria d’organizzazione del convegno entro il 30 settembre 2020 specificando nome, istituzione dell’autore/autori, titolo, riassunto bilingue di 1600 battute per i poster e entro 2500 e 3500 battute per le relazioni. Per i pre-atti del convegno le proposte devono essere scritte in francese o spagnolo e inglese. </w:t>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r w:rsidRPr="003D0DB7">
        <w:rPr>
          <w:rFonts w:ascii="Frutiger Next Pro" w:eastAsia="Garamond" w:hAnsi="Frutiger Next Pro" w:cs="Garamond"/>
          <w:b/>
        </w:rPr>
        <w:tab/>
      </w:r>
    </w:p>
    <w:p w:rsidR="00897CAC" w:rsidRDefault="00897CAC" w:rsidP="00897CAC">
      <w:pPr>
        <w:spacing w:before="240" w:after="240" w:line="252" w:lineRule="auto"/>
        <w:rPr>
          <w:rFonts w:ascii="Frutiger Next Pro" w:eastAsia="Garamond" w:hAnsi="Frutiger Next Pro" w:cs="Garamond"/>
          <w:b/>
          <w:color w:val="980000"/>
        </w:rPr>
      </w:pPr>
      <w:r w:rsidRPr="00D05DC2">
        <w:rPr>
          <w:rFonts w:ascii="Frutiger Next Pro" w:eastAsia="Garamond" w:hAnsi="Frutiger Next Pro" w:cs="Garamond"/>
          <w:b/>
          <w:color w:val="980000"/>
        </w:rPr>
        <w:t xml:space="preserve">Segreteria del convegno (indirizzo a cui inviare le vostre proposte): </w:t>
      </w:r>
    </w:p>
    <w:p w:rsidR="00897CAC" w:rsidRPr="003D0DB7" w:rsidRDefault="00747EC7" w:rsidP="00897CAC">
      <w:pPr>
        <w:spacing w:before="240" w:after="240" w:line="252" w:lineRule="auto"/>
        <w:jc w:val="center"/>
        <w:rPr>
          <w:rFonts w:ascii="Frutiger Next Pro" w:eastAsia="Garamond" w:hAnsi="Frutiger Next Pro" w:cs="Garamond"/>
        </w:rPr>
      </w:pPr>
      <w:hyperlink r:id="rId10">
        <w:r w:rsidR="00897CAC" w:rsidRPr="003D0DB7">
          <w:rPr>
            <w:rFonts w:ascii="Frutiger Next Pro" w:eastAsia="Garamond" w:hAnsi="Frutiger Next Pro" w:cs="Garamond"/>
            <w:color w:val="1155CC"/>
            <w:u w:val="single"/>
          </w:rPr>
          <w:t>afeaf.gijon@gmail.com</w:t>
        </w:r>
      </w:hyperlink>
    </w:p>
    <w:p w:rsidR="00897CAC" w:rsidRDefault="00897CAC" w:rsidP="00897CAC">
      <w:pPr>
        <w:pBdr>
          <w:top w:val="nil"/>
          <w:left w:val="nil"/>
          <w:bottom w:val="nil"/>
          <w:right w:val="nil"/>
          <w:between w:val="nil"/>
        </w:pBdr>
        <w:spacing w:after="100" w:line="252" w:lineRule="auto"/>
        <w:rPr>
          <w:rFonts w:ascii="Frutiger Next Pro" w:eastAsia="Garamond" w:hAnsi="Frutiger Next Pro" w:cs="Garamond"/>
          <w:b/>
        </w:rPr>
      </w:pPr>
    </w:p>
    <w:p w:rsidR="00897CAC" w:rsidRDefault="00897CAC" w:rsidP="00897CAC">
      <w:pPr>
        <w:rPr>
          <w:rFonts w:ascii="Frutiger Next Pro" w:eastAsia="Garamond" w:hAnsi="Frutiger Next Pro" w:cs="Garamond"/>
          <w:b/>
        </w:rPr>
      </w:pPr>
      <w:r>
        <w:rPr>
          <w:rFonts w:ascii="Frutiger Next Pro" w:eastAsia="Garamond" w:hAnsi="Frutiger Next Pro" w:cs="Garamond"/>
          <w:b/>
        </w:rPr>
        <w:br w:type="page"/>
      </w:r>
    </w:p>
    <w:p w:rsidR="00897CAC" w:rsidRDefault="00897CAC" w:rsidP="00897CAC">
      <w:pPr>
        <w:pBdr>
          <w:top w:val="nil"/>
          <w:left w:val="nil"/>
          <w:bottom w:val="nil"/>
          <w:right w:val="nil"/>
          <w:between w:val="nil"/>
        </w:pBdr>
        <w:spacing w:after="100" w:line="252" w:lineRule="auto"/>
        <w:rPr>
          <w:rFonts w:ascii="Frutiger Next Pro" w:eastAsia="Garamond" w:hAnsi="Frutiger Next Pro" w:cs="Garamond"/>
          <w:b/>
        </w:rPr>
      </w:pPr>
    </w:p>
    <w:p w:rsidR="00897CAC" w:rsidRPr="00D05DC2" w:rsidRDefault="00897CAC" w:rsidP="00897CAC">
      <w:pPr>
        <w:pBdr>
          <w:top w:val="nil"/>
          <w:left w:val="nil"/>
          <w:bottom w:val="nil"/>
          <w:right w:val="nil"/>
          <w:between w:val="nil"/>
        </w:pBdr>
        <w:spacing w:line="252" w:lineRule="auto"/>
        <w:rPr>
          <w:rFonts w:ascii="Frutiger Next Pro" w:eastAsia="Garamond" w:hAnsi="Frutiger Next Pro" w:cs="Garamond"/>
          <w:b/>
        </w:rPr>
      </w:pPr>
      <w:r w:rsidRPr="00D05DC2">
        <w:rPr>
          <w:rFonts w:ascii="Frutiger Next Pro" w:eastAsia="Garamond" w:hAnsi="Frutiger Next Pro" w:cs="Garamond"/>
          <w:b/>
        </w:rPr>
        <w:t>Raccomandazioni e obiettivi del convegno</w:t>
      </w:r>
    </w:p>
    <w:p w:rsidR="00897CAC" w:rsidRPr="00D05DC2" w:rsidRDefault="00897CAC" w:rsidP="00897CAC">
      <w:pPr>
        <w:pBdr>
          <w:top w:val="nil"/>
          <w:left w:val="nil"/>
          <w:bottom w:val="nil"/>
          <w:right w:val="nil"/>
          <w:between w:val="nil"/>
        </w:pBdr>
        <w:spacing w:after="100"/>
        <w:ind w:firstLine="709"/>
        <w:jc w:val="both"/>
        <w:rPr>
          <w:rFonts w:ascii="Frutiger Next Pro" w:eastAsia="Garamond" w:hAnsi="Frutiger Next Pro" w:cs="Garamond"/>
        </w:rPr>
      </w:pPr>
      <w:r w:rsidRPr="00D05DC2">
        <w:rPr>
          <w:rFonts w:ascii="Frutiger Next Pro" w:eastAsia="Garamond" w:hAnsi="Frutiger Next Pro" w:cs="Garamond"/>
        </w:rPr>
        <w:t xml:space="preserve">Ricordiamo che il convegno è destinato a favorire un dibattito scientifico basato sulla presentazione di nuovi risultati (metodologici e teorici) e nuovi dati strettamente legati alle tre tematiche identificate. I lavori di sintesi e la produzione scientifica innovativa sono particolarmente ricercate. Gli studi focalizzati su un singolo sito, un progetto di ricerca appena iniziato o su un insieme limitato di materiali saranno anche particolarmente apprezzati, ma faranno oggetto di poster. </w:t>
      </w: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rPr>
      </w:pPr>
    </w:p>
    <w:p w:rsidR="00897CAC" w:rsidRPr="00D05DC2" w:rsidRDefault="00897CAC" w:rsidP="00897CAC">
      <w:pPr>
        <w:rPr>
          <w:rFonts w:ascii="Frutiger Next Pro" w:eastAsia="Garamond" w:hAnsi="Frutiger Next Pro" w:cs="Garamond"/>
          <w:b/>
        </w:rPr>
      </w:pPr>
      <w:r w:rsidRPr="00D05DC2">
        <w:rPr>
          <w:rFonts w:ascii="Frutiger Next Pro" w:eastAsia="Garamond" w:hAnsi="Frutiger Next Pro" w:cs="Garamond"/>
          <w:b/>
          <w:color w:val="000000"/>
        </w:rPr>
        <w:t>Pubblicazione degli atti del convegno</w:t>
      </w:r>
    </w:p>
    <w:p w:rsidR="00897CAC" w:rsidRPr="00D05DC2" w:rsidRDefault="00897CAC" w:rsidP="00897CAC">
      <w:pPr>
        <w:spacing w:before="200" w:after="0"/>
        <w:ind w:firstLine="709"/>
        <w:rPr>
          <w:rFonts w:ascii="Frutiger Next Pro" w:eastAsia="Garamond" w:hAnsi="Frutiger Next Pro" w:cs="Garamond"/>
        </w:rPr>
      </w:pPr>
      <w:r w:rsidRPr="00D05DC2">
        <w:rPr>
          <w:rFonts w:ascii="Frutiger Next Pro" w:eastAsia="Garamond" w:hAnsi="Frutiger Next Pro" w:cs="Garamond"/>
        </w:rPr>
        <w:t>La pubblicazione degli atti è programmata per maggio 2023 nella Collezione AFEAF. La consegna dei manoscritti è prevista per il 15 ottobre 2021. Le lingue accettate sono quelle del convegno: francese, spagnolo e inglese.</w:t>
      </w:r>
    </w:p>
    <w:p w:rsidR="00897CAC" w:rsidRDefault="00897CAC" w:rsidP="00897CAC">
      <w:pPr>
        <w:pBdr>
          <w:top w:val="nil"/>
          <w:left w:val="nil"/>
          <w:bottom w:val="nil"/>
          <w:right w:val="nil"/>
          <w:between w:val="nil"/>
        </w:pBdr>
        <w:spacing w:after="100" w:line="252" w:lineRule="auto"/>
        <w:rPr>
          <w:rFonts w:ascii="Frutiger Next Pro" w:eastAsia="Garamond" w:hAnsi="Frutiger Next Pro" w:cs="Garamond"/>
          <w:b/>
          <w:color w:val="000000"/>
        </w:rPr>
      </w:pP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b/>
          <w:color w:val="000000"/>
        </w:rPr>
      </w:pPr>
      <w:r w:rsidRPr="00D05DC2">
        <w:rPr>
          <w:rFonts w:ascii="Frutiger Next Pro" w:eastAsia="Garamond" w:hAnsi="Frutiger Next Pro" w:cs="Garamond"/>
          <w:b/>
          <w:color w:val="000000"/>
        </w:rPr>
        <w:t>Escursioni</w:t>
      </w:r>
    </w:p>
    <w:p w:rsidR="00897CAC" w:rsidRPr="003D0DB7" w:rsidRDefault="00897CAC" w:rsidP="00897CAC">
      <w:pPr>
        <w:spacing w:before="240" w:after="240"/>
        <w:ind w:firstLine="709"/>
        <w:rPr>
          <w:rFonts w:ascii="Frutiger Next Pro" w:eastAsia="Garamond" w:hAnsi="Frutiger Next Pro" w:cs="Garamond"/>
        </w:rPr>
      </w:pPr>
      <w:r w:rsidRPr="003D0DB7">
        <w:rPr>
          <w:rFonts w:ascii="Frutiger Next Pro" w:eastAsia="Garamond" w:hAnsi="Frutiger Next Pro" w:cs="Garamond"/>
        </w:rPr>
        <w:t>Il percorso delle escursioni permetterà di scoprire i siti più importanti delle Asturie dell’età del Ferro e dell’epoca romana. Sono previste tre tappe:</w:t>
      </w:r>
    </w:p>
    <w:p w:rsidR="00897CAC" w:rsidRPr="003D0DB7" w:rsidRDefault="00897CAC" w:rsidP="00897CAC">
      <w:pPr>
        <w:pStyle w:val="Prrafodelista"/>
        <w:numPr>
          <w:ilvl w:val="0"/>
          <w:numId w:val="1"/>
        </w:numPr>
        <w:spacing w:before="240" w:after="240" w:line="276" w:lineRule="auto"/>
        <w:rPr>
          <w:rFonts w:ascii="Frutiger Next Pro" w:eastAsia="Garamond" w:hAnsi="Frutiger Next Pro" w:cs="Garamond"/>
        </w:rPr>
      </w:pPr>
      <w:r w:rsidRPr="003D0DB7">
        <w:rPr>
          <w:rFonts w:ascii="Frutiger Next Pro" w:eastAsia="Garamond" w:hAnsi="Frutiger Next Pro" w:cs="Garamond"/>
        </w:rPr>
        <w:t>Visita del castro di Coaña, un villaggio fortificato della prima metà del I millennio a.C. ;</w:t>
      </w:r>
    </w:p>
    <w:p w:rsidR="00897CAC" w:rsidRPr="003D0DB7" w:rsidRDefault="00897CAC" w:rsidP="00897CAC">
      <w:pPr>
        <w:pStyle w:val="Prrafodelista"/>
        <w:numPr>
          <w:ilvl w:val="0"/>
          <w:numId w:val="1"/>
        </w:numPr>
        <w:spacing w:before="240" w:after="240" w:line="276" w:lineRule="auto"/>
        <w:rPr>
          <w:rFonts w:ascii="Frutiger Next Pro" w:eastAsia="Garamond" w:hAnsi="Frutiger Next Pro" w:cs="Garamond"/>
        </w:rPr>
      </w:pPr>
      <w:r w:rsidRPr="003D0DB7">
        <w:rPr>
          <w:rFonts w:ascii="Frutiger Next Pro" w:eastAsia="Garamond" w:hAnsi="Frutiger Next Pro" w:cs="Garamond"/>
        </w:rPr>
        <w:t xml:space="preserve">Pranzo e visita della villa di Veranes d’epoca romana ; </w:t>
      </w:r>
    </w:p>
    <w:p w:rsidR="00897CAC" w:rsidRPr="003D0DB7" w:rsidRDefault="00897CAC" w:rsidP="00897CAC">
      <w:pPr>
        <w:pStyle w:val="Prrafodelista"/>
        <w:numPr>
          <w:ilvl w:val="0"/>
          <w:numId w:val="1"/>
        </w:numPr>
        <w:spacing w:before="240" w:after="240" w:line="276" w:lineRule="auto"/>
        <w:rPr>
          <w:rFonts w:ascii="Frutiger Next Pro" w:eastAsia="Garamond" w:hAnsi="Frutiger Next Pro" w:cs="Garamond"/>
          <w:color w:val="000000"/>
        </w:rPr>
      </w:pPr>
      <w:r w:rsidRPr="003D0DB7">
        <w:rPr>
          <w:rFonts w:ascii="Frutiger Next Pro" w:eastAsia="Garamond" w:hAnsi="Frutiger Next Pro" w:cs="Garamond"/>
        </w:rPr>
        <w:t>Visita del castro di Campa Torres (la Noega delle fonti antiche, il sito costiero più importante delle Asturie) e del suo museo. Dal castro di Campa Torres si potrà godere di un panorama incomparabile sul mare Cantabrico, sulla città di Gijón e sul sito archeo</w:t>
      </w:r>
      <w:r w:rsidRPr="003D0DB7">
        <w:rPr>
          <w:rFonts w:ascii="Frutiger Next Pro" w:eastAsia="Garamond" w:hAnsi="Frutiger Next Pro" w:cs="Garamond"/>
          <w:color w:val="000000"/>
        </w:rPr>
        <w:t>logico romano della collina di Santa Catalina.</w:t>
      </w:r>
    </w:p>
    <w:p w:rsidR="00897CAC" w:rsidRPr="00D05DC2" w:rsidRDefault="00897CAC" w:rsidP="00897CAC">
      <w:pPr>
        <w:spacing w:after="100" w:line="252" w:lineRule="auto"/>
        <w:rPr>
          <w:rFonts w:ascii="Frutiger Next Pro" w:eastAsia="Garamond" w:hAnsi="Frutiger Next Pro" w:cs="Garamond"/>
          <w:b/>
        </w:rPr>
      </w:pPr>
      <w:r w:rsidRPr="00D05DC2">
        <w:rPr>
          <w:rFonts w:ascii="Frutiger Next Pro" w:eastAsia="Garamond" w:hAnsi="Frutiger Next Pro" w:cs="Garamond"/>
          <w:b/>
        </w:rPr>
        <w:t>Serata di Gala</w:t>
      </w:r>
    </w:p>
    <w:p w:rsidR="00897CAC" w:rsidRPr="00D05DC2" w:rsidRDefault="00897CAC" w:rsidP="00897CAC">
      <w:pPr>
        <w:spacing w:after="100"/>
        <w:ind w:firstLine="709"/>
        <w:rPr>
          <w:rFonts w:ascii="Frutiger Next Pro" w:eastAsia="Garamond" w:hAnsi="Frutiger Next Pro" w:cs="Garamond"/>
          <w:b/>
        </w:rPr>
      </w:pPr>
      <w:r w:rsidRPr="00D05DC2">
        <w:rPr>
          <w:rFonts w:ascii="Frutiger Next Pro" w:eastAsia="Garamond" w:hAnsi="Frutiger Next Pro" w:cs="Garamond"/>
        </w:rPr>
        <w:t xml:space="preserve">La serata di Gala si svolgerà nel magnifico parco del Museo del popolo delle Asturie (Giardini del Museo del Pueblo de Asturias), situato a qualche passo dalla spiaggia di San Lorenzo, nel settore occidentale di </w:t>
      </w:r>
      <w:r w:rsidRPr="00D05DC2">
        <w:rPr>
          <w:rFonts w:ascii="Frutiger Next Pro" w:eastAsia="Garamond" w:hAnsi="Frutiger Next Pro" w:cs="Garamond"/>
          <w:color w:val="000000"/>
        </w:rPr>
        <w:t>Gijón</w:t>
      </w:r>
    </w:p>
    <w:p w:rsidR="00897CAC" w:rsidRPr="00D05DC2" w:rsidRDefault="00897CAC" w:rsidP="00897CAC">
      <w:pPr>
        <w:spacing w:after="100" w:line="252" w:lineRule="auto"/>
        <w:rPr>
          <w:rFonts w:ascii="Frutiger Next Pro" w:eastAsia="Garamond" w:hAnsi="Frutiger Next Pro" w:cs="Garamond"/>
          <w:b/>
        </w:rPr>
      </w:pPr>
    </w:p>
    <w:p w:rsidR="00897CAC" w:rsidRDefault="00897CAC" w:rsidP="00897CAC">
      <w:pPr>
        <w:rPr>
          <w:rFonts w:ascii="Frutiger Next Pro" w:eastAsia="Garamond" w:hAnsi="Frutiger Next Pro" w:cs="Garamond"/>
          <w:b/>
          <w:color w:val="000000"/>
        </w:rPr>
      </w:pPr>
      <w:r>
        <w:rPr>
          <w:rFonts w:ascii="Frutiger Next Pro" w:eastAsia="Garamond" w:hAnsi="Frutiger Next Pro" w:cs="Garamond"/>
          <w:b/>
          <w:color w:val="000000"/>
        </w:rPr>
        <w:br w:type="page"/>
      </w:r>
    </w:p>
    <w:p w:rsidR="00897CAC" w:rsidRDefault="00897CAC" w:rsidP="00897CAC">
      <w:pPr>
        <w:pBdr>
          <w:top w:val="nil"/>
          <w:left w:val="nil"/>
          <w:bottom w:val="nil"/>
          <w:right w:val="nil"/>
          <w:between w:val="nil"/>
        </w:pBdr>
        <w:spacing w:after="100" w:line="252" w:lineRule="auto"/>
        <w:rPr>
          <w:rFonts w:ascii="Frutiger Next Pro" w:eastAsia="Garamond" w:hAnsi="Frutiger Next Pro" w:cs="Garamond"/>
          <w:b/>
          <w:color w:val="000000"/>
        </w:rPr>
      </w:pPr>
    </w:p>
    <w:p w:rsidR="00897CAC" w:rsidRPr="00D05DC2" w:rsidRDefault="00897CAC" w:rsidP="00897CAC">
      <w:pPr>
        <w:pBdr>
          <w:top w:val="nil"/>
          <w:left w:val="nil"/>
          <w:bottom w:val="nil"/>
          <w:right w:val="nil"/>
          <w:between w:val="nil"/>
        </w:pBdr>
        <w:spacing w:line="252" w:lineRule="auto"/>
        <w:rPr>
          <w:rFonts w:ascii="Frutiger Next Pro" w:eastAsia="Garamond" w:hAnsi="Frutiger Next Pro" w:cs="Garamond"/>
          <w:b/>
          <w:color w:val="000000"/>
        </w:rPr>
      </w:pPr>
      <w:r w:rsidRPr="00D05DC2">
        <w:rPr>
          <w:rFonts w:ascii="Frutiger Next Pro" w:eastAsia="Garamond" w:hAnsi="Frutiger Next Pro" w:cs="Garamond"/>
          <w:b/>
          <w:color w:val="000000"/>
        </w:rPr>
        <w:t>Comitato d’organizzazione</w:t>
      </w:r>
    </w:p>
    <w:p w:rsidR="00897CAC" w:rsidRPr="00D539D0" w:rsidRDefault="00897CAC" w:rsidP="00897CAC">
      <w:pPr>
        <w:pBdr>
          <w:top w:val="nil"/>
          <w:left w:val="nil"/>
          <w:bottom w:val="nil"/>
          <w:right w:val="nil"/>
          <w:between w:val="nil"/>
        </w:pBdr>
        <w:spacing w:after="0"/>
        <w:jc w:val="both"/>
        <w:rPr>
          <w:rFonts w:ascii="Frutiger Next Pro" w:eastAsia="Garamond" w:hAnsi="Frutiger Next Pro" w:cs="Garamond"/>
        </w:rPr>
      </w:pPr>
      <w:r w:rsidRPr="00D539D0">
        <w:rPr>
          <w:rFonts w:ascii="Frutiger Next Pro" w:eastAsia="Garamond" w:hAnsi="Frutiger Next Pro" w:cs="Garamond"/>
          <w:b/>
          <w:color w:val="000000"/>
        </w:rPr>
        <w:t>Philippe Barral</w:t>
      </w:r>
      <w:r w:rsidR="00176858">
        <w:rPr>
          <w:rFonts w:ascii="Frutiger Next Pro" w:eastAsia="Garamond" w:hAnsi="Frutiger Next Pro" w:cs="Garamond"/>
          <w:color w:val="000000"/>
        </w:rPr>
        <w:t xml:space="preserve"> (président de l’AFEAF),</w:t>
      </w:r>
      <w:r w:rsidRPr="00D539D0">
        <w:rPr>
          <w:rFonts w:ascii="Frutiger Next Pro" w:eastAsia="Garamond" w:hAnsi="Frutiger Next Pro" w:cs="Garamond"/>
          <w:color w:val="000000"/>
        </w:rPr>
        <w:t xml:space="preserve"> </w:t>
      </w:r>
      <w:r w:rsidRPr="00D539D0">
        <w:rPr>
          <w:rFonts w:ascii="Frutiger Next Pro" w:eastAsia="Garamond" w:hAnsi="Frutiger Next Pro" w:cs="Garamond"/>
          <w:b/>
        </w:rPr>
        <w:t>Valérie Taillandier</w:t>
      </w:r>
      <w:r w:rsidR="00176858">
        <w:rPr>
          <w:rFonts w:ascii="Frutiger Next Pro" w:eastAsia="Garamond" w:hAnsi="Frutiger Next Pro" w:cs="Garamond"/>
          <w:color w:val="000000"/>
        </w:rPr>
        <w:t xml:space="preserve"> (secrétaire de l'AFEAF),</w:t>
      </w:r>
      <w:r w:rsidRPr="00D539D0">
        <w:rPr>
          <w:rFonts w:ascii="Frutiger Next Pro" w:eastAsia="Garamond" w:hAnsi="Frutiger Next Pro" w:cs="Garamond"/>
          <w:color w:val="000000"/>
        </w:rPr>
        <w:t xml:space="preserve"> </w:t>
      </w:r>
      <w:r w:rsidRPr="00D539D0">
        <w:rPr>
          <w:rFonts w:ascii="Frutiger Next Pro" w:eastAsia="Garamond" w:hAnsi="Frutiger Next Pro" w:cs="Garamond"/>
          <w:b/>
          <w:color w:val="000000"/>
        </w:rPr>
        <w:t>Phillipe Gruat</w:t>
      </w:r>
      <w:r w:rsidRPr="00D539D0">
        <w:rPr>
          <w:rFonts w:ascii="Frutiger Next Pro" w:eastAsia="Garamond" w:hAnsi="Frutiger Next Pro" w:cs="Garamond"/>
          <w:color w:val="000000"/>
        </w:rPr>
        <w:t xml:space="preserve"> (trésorier de l'AFEAF)</w:t>
      </w:r>
      <w:r w:rsidR="00176858">
        <w:rPr>
          <w:rFonts w:ascii="Frutiger Next Pro" w:eastAsia="Garamond" w:hAnsi="Frutiger Next Pro" w:cs="Garamond"/>
        </w:rPr>
        <w:t>,</w:t>
      </w:r>
      <w:r w:rsidRPr="00D539D0">
        <w:rPr>
          <w:rFonts w:ascii="Frutiger Next Pro" w:eastAsia="Garamond" w:hAnsi="Frutiger Next Pro" w:cs="Garamond"/>
        </w:rPr>
        <w:t xml:space="preserve"> </w:t>
      </w:r>
      <w:r w:rsidRPr="00D539D0">
        <w:rPr>
          <w:rFonts w:ascii="Frutiger Next Pro" w:eastAsia="Garamond" w:hAnsi="Frutiger Next Pro" w:cs="Garamond"/>
          <w:b/>
          <w:color w:val="000000"/>
        </w:rPr>
        <w:t>Paloma García Díaz</w:t>
      </w:r>
      <w:r w:rsidRPr="00D539D0">
        <w:rPr>
          <w:rFonts w:ascii="Frutiger Next Pro" w:eastAsia="Garamond" w:hAnsi="Frutiger Next Pro" w:cs="Garamond"/>
          <w:color w:val="000000"/>
        </w:rPr>
        <w:t xml:space="preserve"> (M</w:t>
      </w:r>
      <w:r>
        <w:rPr>
          <w:rFonts w:ascii="Frutiger Next Pro" w:eastAsia="Garamond" w:hAnsi="Frutiger Next Pro" w:cs="Garamond"/>
          <w:color w:val="000000"/>
        </w:rPr>
        <w:t>useo Arqueológico de Gijón, Directora</w:t>
      </w:r>
      <w:r w:rsidR="00176858">
        <w:rPr>
          <w:rFonts w:ascii="Frutiger Next Pro" w:eastAsia="Garamond" w:hAnsi="Frutiger Next Pro" w:cs="Garamond"/>
          <w:color w:val="000000"/>
        </w:rPr>
        <w:t>),</w:t>
      </w:r>
      <w:r w:rsidRPr="00D539D0">
        <w:rPr>
          <w:rFonts w:ascii="Frutiger Next Pro" w:eastAsia="Garamond" w:hAnsi="Frutiger Next Pro" w:cs="Garamond"/>
          <w:color w:val="000000"/>
        </w:rPr>
        <w:t xml:space="preserve"> </w:t>
      </w:r>
      <w:r w:rsidRPr="00D539D0">
        <w:rPr>
          <w:rFonts w:ascii="Frutiger Next Pro" w:eastAsia="Garamond" w:hAnsi="Frutiger Next Pro" w:cs="Garamond"/>
          <w:b/>
          <w:color w:val="000000"/>
        </w:rPr>
        <w:t>Ángel Villa Valdés</w:t>
      </w:r>
      <w:r w:rsidRPr="00D539D0">
        <w:rPr>
          <w:rFonts w:ascii="Frutiger Next Pro" w:eastAsia="Garamond" w:hAnsi="Frutiger Next Pro" w:cs="Garamond"/>
          <w:color w:val="000000"/>
        </w:rPr>
        <w:t xml:space="preserve"> (Mus</w:t>
      </w:r>
      <w:r>
        <w:rPr>
          <w:rFonts w:ascii="Frutiger Next Pro" w:eastAsia="Garamond" w:hAnsi="Frutiger Next Pro" w:cs="Garamond"/>
          <w:color w:val="000000"/>
        </w:rPr>
        <w:t>eo Arqueológico de Asturias</w:t>
      </w:r>
      <w:r w:rsidRPr="00D539D0">
        <w:rPr>
          <w:rFonts w:ascii="Frutiger Next Pro" w:eastAsia="Garamond" w:hAnsi="Frutiger Next Pro" w:cs="Garamond"/>
          <w:color w:val="000000"/>
        </w:rPr>
        <w:t>, Conserva</w:t>
      </w:r>
      <w:r>
        <w:rPr>
          <w:rFonts w:ascii="Frutiger Next Pro" w:eastAsia="Garamond" w:hAnsi="Frutiger Next Pro" w:cs="Garamond"/>
          <w:color w:val="000000"/>
        </w:rPr>
        <w:t>dor</w:t>
      </w:r>
      <w:r w:rsidRPr="00D539D0">
        <w:rPr>
          <w:rFonts w:ascii="Frutiger Next Pro" w:eastAsia="Garamond" w:hAnsi="Frutiger Next Pro" w:cs="Garamond"/>
          <w:color w:val="000000"/>
        </w:rPr>
        <w:t>)</w:t>
      </w:r>
      <w:r w:rsidR="00176858">
        <w:rPr>
          <w:rFonts w:ascii="Frutiger Next Pro" w:eastAsia="Garamond" w:hAnsi="Frutiger Next Pro" w:cs="Garamond"/>
        </w:rPr>
        <w:t>,</w:t>
      </w:r>
      <w:r w:rsidRPr="00D539D0">
        <w:rPr>
          <w:rFonts w:ascii="Frutiger Next Pro" w:eastAsia="Garamond" w:hAnsi="Frutiger Next Pro" w:cs="Garamond"/>
        </w:rPr>
        <w:t xml:space="preserve"> </w:t>
      </w:r>
      <w:r w:rsidRPr="00D539D0">
        <w:rPr>
          <w:rFonts w:ascii="Frutiger Next Pro" w:eastAsia="Garamond" w:hAnsi="Frutiger Next Pro" w:cs="Garamond"/>
          <w:b/>
        </w:rPr>
        <w:t xml:space="preserve">Luis Valdés García </w:t>
      </w:r>
      <w:r w:rsidRPr="00D539D0">
        <w:rPr>
          <w:rFonts w:ascii="Frutiger Next Pro" w:eastAsia="Garamond" w:hAnsi="Frutiger Next Pro" w:cs="Garamond"/>
        </w:rPr>
        <w:t>(Real</w:t>
      </w:r>
      <w:r>
        <w:rPr>
          <w:rFonts w:ascii="Frutiger Next Pro" w:eastAsia="Garamond" w:hAnsi="Frutiger Next Pro" w:cs="Garamond"/>
        </w:rPr>
        <w:t xml:space="preserve"> Academia de la Historia, AOrOc,</w:t>
      </w:r>
      <w:r w:rsidR="00176858">
        <w:rPr>
          <w:rFonts w:ascii="Frutiger Next Pro" w:eastAsia="Garamond" w:hAnsi="Frutiger Next Pro" w:cs="Garamond"/>
        </w:rPr>
        <w:t xml:space="preserve"> UMR 8546),</w:t>
      </w:r>
      <w:r w:rsidRPr="00D539D0">
        <w:rPr>
          <w:rFonts w:ascii="Frutiger Next Pro" w:eastAsia="Garamond" w:hAnsi="Frutiger Next Pro" w:cs="Garamond"/>
        </w:rPr>
        <w:t xml:space="preserve"> </w:t>
      </w:r>
      <w:r w:rsidRPr="00D539D0">
        <w:rPr>
          <w:rFonts w:ascii="Frutiger Next Pro" w:eastAsia="Garamond" w:hAnsi="Frutiger Next Pro" w:cs="Garamond"/>
          <w:b/>
        </w:rPr>
        <w:t xml:space="preserve">Veronica Cicolani </w:t>
      </w:r>
      <w:r w:rsidRPr="00D539D0">
        <w:rPr>
          <w:rFonts w:ascii="Frutiger Next Pro" w:eastAsia="Garamond" w:hAnsi="Frutiger Next Pro" w:cs="Garamond"/>
        </w:rPr>
        <w:t>(C</w:t>
      </w:r>
      <w:r w:rsidR="00176858">
        <w:rPr>
          <w:rFonts w:ascii="Frutiger Next Pro" w:eastAsia="Garamond" w:hAnsi="Frutiger Next Pro" w:cs="Garamond"/>
        </w:rPr>
        <w:t>NRS, AOrOc- UMR 8546, CNRS-PSL),</w:t>
      </w:r>
      <w:r w:rsidRPr="00D539D0">
        <w:rPr>
          <w:rFonts w:ascii="Frutiger Next Pro" w:eastAsia="Garamond" w:hAnsi="Frutiger Next Pro" w:cs="Garamond"/>
        </w:rPr>
        <w:t xml:space="preserve"> </w:t>
      </w:r>
      <w:r w:rsidRPr="00D539D0">
        <w:rPr>
          <w:rFonts w:ascii="Frutiger Next Pro" w:eastAsia="Garamond" w:hAnsi="Frutiger Next Pro" w:cs="Garamond"/>
          <w:b/>
        </w:rPr>
        <w:t xml:space="preserve">Eneko Hiriart </w:t>
      </w:r>
      <w:r w:rsidRPr="00D539D0">
        <w:rPr>
          <w:rFonts w:ascii="Frutiger Next Pro" w:eastAsia="Garamond" w:hAnsi="Frutiger Next Pro" w:cs="Garamond"/>
        </w:rPr>
        <w:t>(CNRS, IRAM</w:t>
      </w:r>
      <w:r w:rsidRPr="00D539D0">
        <w:rPr>
          <w:rFonts w:ascii="Frutiger Next Pro" w:eastAsia="Garamond" w:hAnsi="Frutiger Next Pro" w:cs="Garamond"/>
          <w:color w:val="000000"/>
        </w:rPr>
        <w:t>AT-CRP2A, UMR 5060)</w:t>
      </w:r>
      <w:r w:rsidRPr="00D539D0">
        <w:rPr>
          <w:rFonts w:ascii="Frutiger Next Pro" w:eastAsia="Garamond" w:hAnsi="Frutiger Next Pro" w:cs="Garamond"/>
          <w:b/>
          <w:color w:val="000000"/>
        </w:rPr>
        <w:t xml:space="preserve"> </w:t>
      </w: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b/>
          <w:color w:val="000000"/>
        </w:rPr>
      </w:pPr>
    </w:p>
    <w:p w:rsidR="00897CAC" w:rsidRPr="00D05DC2" w:rsidRDefault="00897CAC" w:rsidP="00897CAC">
      <w:pPr>
        <w:pBdr>
          <w:top w:val="nil"/>
          <w:left w:val="nil"/>
          <w:bottom w:val="nil"/>
          <w:right w:val="nil"/>
          <w:between w:val="nil"/>
        </w:pBdr>
        <w:spacing w:after="100" w:line="252" w:lineRule="auto"/>
        <w:rPr>
          <w:rFonts w:ascii="Frutiger Next Pro" w:eastAsia="Garamond" w:hAnsi="Frutiger Next Pro" w:cs="Garamond"/>
          <w:b/>
        </w:rPr>
      </w:pPr>
      <w:bookmarkStart w:id="5" w:name="_heading=h.1fob9te" w:colFirst="0" w:colLast="0"/>
      <w:bookmarkEnd w:id="5"/>
    </w:p>
    <w:p w:rsidR="00897CAC" w:rsidRPr="00D05DC2" w:rsidRDefault="00897CAC" w:rsidP="00897CAC">
      <w:pPr>
        <w:spacing w:line="252" w:lineRule="auto"/>
        <w:rPr>
          <w:rFonts w:ascii="Frutiger Next Pro" w:eastAsia="Garamond" w:hAnsi="Frutiger Next Pro" w:cs="Garamond"/>
          <w:b/>
        </w:rPr>
      </w:pPr>
      <w:bookmarkStart w:id="6" w:name="_heading=h.xar7zly9tc0h" w:colFirst="0" w:colLast="0"/>
      <w:bookmarkEnd w:id="6"/>
      <w:r w:rsidRPr="00D05DC2">
        <w:rPr>
          <w:rFonts w:ascii="Frutiger Next Pro" w:eastAsia="Garamond" w:hAnsi="Frutiger Next Pro" w:cs="Garamond"/>
          <w:b/>
          <w:color w:val="000000"/>
        </w:rPr>
        <w:t>Comitato</w:t>
      </w:r>
      <w:r w:rsidRPr="00D05DC2">
        <w:rPr>
          <w:rFonts w:ascii="Frutiger Next Pro" w:eastAsia="Garamond" w:hAnsi="Frutiger Next Pro" w:cs="Garamond"/>
          <w:b/>
        </w:rPr>
        <w:t xml:space="preserve"> scientifico</w:t>
      </w:r>
    </w:p>
    <w:p w:rsidR="00897CAC" w:rsidRPr="00D539D0" w:rsidRDefault="00897CAC" w:rsidP="00897CAC">
      <w:pPr>
        <w:spacing w:after="0"/>
        <w:jc w:val="both"/>
        <w:rPr>
          <w:rFonts w:ascii="Frutiger Next Pro" w:eastAsia="Garamond" w:hAnsi="Frutiger Next Pro" w:cs="Garamond"/>
        </w:rPr>
      </w:pPr>
      <w:bookmarkStart w:id="7" w:name="_heading=h.mhbmgkr1dtdz" w:colFirst="0" w:colLast="0"/>
      <w:bookmarkEnd w:id="7"/>
      <w:r w:rsidRPr="00D539D0">
        <w:rPr>
          <w:rFonts w:ascii="Frutiger Next Pro" w:hAnsi="Frutiger Next Pro"/>
          <w:b/>
          <w:bCs/>
          <w:color w:val="000000"/>
        </w:rPr>
        <w:t xml:space="preserve">Martín Almagro Gorbea </w:t>
      </w:r>
      <w:r w:rsidRPr="00D539D0">
        <w:rPr>
          <w:rFonts w:ascii="Frutiger Next Pro" w:hAnsi="Frutiger Next Pro"/>
          <w:color w:val="000000"/>
        </w:rPr>
        <w:t>(Real Academia de la Historia),</w:t>
      </w:r>
      <w:r w:rsidRPr="00D539D0">
        <w:rPr>
          <w:rFonts w:ascii="Frutiger Next Pro" w:hAnsi="Frutiger Next Pro"/>
          <w:b/>
          <w:bCs/>
          <w:color w:val="000000"/>
        </w:rPr>
        <w:t xml:space="preserve"> Ivana Angelini</w:t>
      </w:r>
      <w:r w:rsidRPr="00D539D0">
        <w:rPr>
          <w:rFonts w:ascii="Frutiger Next Pro" w:hAnsi="Frutiger Next Pro"/>
          <w:color w:val="000000"/>
        </w:rPr>
        <w:t xml:space="preserve"> (Università di Padova, Dipartimento dei Beni Culturali DBC), </w:t>
      </w:r>
      <w:r w:rsidRPr="00D539D0">
        <w:rPr>
          <w:rFonts w:ascii="Frutiger Next Pro" w:hAnsi="Frutiger Next Pro"/>
          <w:b/>
          <w:bCs/>
          <w:color w:val="000000"/>
        </w:rPr>
        <w:t xml:space="preserve">Philippe Barral </w:t>
      </w:r>
      <w:r w:rsidRPr="00D539D0">
        <w:rPr>
          <w:rFonts w:ascii="Frutiger Next Pro" w:hAnsi="Frutiger Next Pro"/>
          <w:color w:val="000000"/>
        </w:rPr>
        <w:t xml:space="preserve">(Président de l’AFEAF, </w:t>
      </w:r>
      <w:r w:rsidRPr="00D539D0">
        <w:rPr>
          <w:rFonts w:ascii="Frutiger Next Pro" w:hAnsi="Frutiger Next Pro"/>
          <w:color w:val="000000"/>
          <w:shd w:val="clear" w:color="auto" w:fill="FFFFFF"/>
        </w:rPr>
        <w:t>Chrono-environnement, UMR 6249, Université Bourgogne-Franche-Comté</w:t>
      </w:r>
      <w:r w:rsidRPr="00D539D0">
        <w:rPr>
          <w:rFonts w:ascii="Frutiger Next Pro" w:hAnsi="Frutiger Next Pro"/>
          <w:color w:val="000000"/>
        </w:rPr>
        <w:t xml:space="preserve">), </w:t>
      </w:r>
      <w:r w:rsidRPr="00D539D0">
        <w:rPr>
          <w:rFonts w:ascii="Frutiger Next Pro" w:hAnsi="Frutiger Next Pro"/>
          <w:b/>
          <w:bCs/>
          <w:color w:val="000000"/>
        </w:rPr>
        <w:t>Sylvain</w:t>
      </w:r>
      <w:r w:rsidRPr="00D539D0">
        <w:rPr>
          <w:rFonts w:ascii="Frutiger Next Pro" w:hAnsi="Frutiger Next Pro"/>
          <w:color w:val="000000"/>
        </w:rPr>
        <w:t xml:space="preserve"> </w:t>
      </w:r>
      <w:r w:rsidRPr="00D539D0">
        <w:rPr>
          <w:rFonts w:ascii="Frutiger Next Pro" w:hAnsi="Frutiger Next Pro"/>
          <w:b/>
          <w:bCs/>
          <w:color w:val="000000"/>
        </w:rPr>
        <w:t xml:space="preserve">Bauvais </w:t>
      </w:r>
      <w:r w:rsidRPr="00D539D0">
        <w:rPr>
          <w:rFonts w:ascii="Frutiger Next Pro" w:hAnsi="Frutiger Next Pro"/>
          <w:color w:val="000000"/>
        </w:rPr>
        <w:t xml:space="preserve">(CNRS, IRAMAT-LMC, UMR 5060), </w:t>
      </w:r>
      <w:r w:rsidRPr="00D539D0">
        <w:rPr>
          <w:rFonts w:ascii="Frutiger Next Pro" w:hAnsi="Frutiger Next Pro"/>
          <w:b/>
          <w:bCs/>
          <w:color w:val="000000"/>
        </w:rPr>
        <w:t xml:space="preserve">Luis Berrocal Rangel </w:t>
      </w:r>
      <w:r w:rsidRPr="00D539D0">
        <w:rPr>
          <w:rFonts w:ascii="Frutiger Next Pro" w:hAnsi="Frutiger Next Pro"/>
          <w:color w:val="000000"/>
        </w:rPr>
        <w:t>(Universidad Autónoma de Madrid),</w:t>
      </w:r>
      <w:r w:rsidRPr="00D539D0">
        <w:rPr>
          <w:rFonts w:ascii="Frutiger Next Pro" w:hAnsi="Frutiger Next Pro"/>
          <w:b/>
          <w:bCs/>
          <w:color w:val="000000"/>
        </w:rPr>
        <w:t xml:space="preserve"> Ana M.S. Bettencourt </w:t>
      </w:r>
      <w:r w:rsidRPr="00D539D0">
        <w:rPr>
          <w:rFonts w:ascii="Frutiger Next Pro" w:hAnsi="Frutiger Next Pro"/>
          <w:color w:val="000000"/>
        </w:rPr>
        <w:t>(Universidade do Minho, Braga/ G</w:t>
      </w:r>
      <w:r w:rsidRPr="00D539D0">
        <w:rPr>
          <w:rFonts w:ascii="Frutiger Next Pro" w:hAnsi="Frutiger Next Pro"/>
          <w:color w:val="000000"/>
          <w:shd w:val="clear" w:color="auto" w:fill="FFFFFF"/>
        </w:rPr>
        <w:t>uimarães</w:t>
      </w:r>
      <w:r w:rsidRPr="00D539D0">
        <w:rPr>
          <w:rFonts w:ascii="Frutiger Next Pro" w:hAnsi="Frutiger Next Pro"/>
          <w:color w:val="000000"/>
        </w:rPr>
        <w:t xml:space="preserve">), </w:t>
      </w:r>
      <w:r w:rsidRPr="00D539D0">
        <w:rPr>
          <w:rFonts w:ascii="Frutiger Next Pro" w:hAnsi="Frutiger Next Pro"/>
          <w:b/>
          <w:bCs/>
          <w:color w:val="000000"/>
        </w:rPr>
        <w:t xml:space="preserve">Miguel Ángel Blas Cortina </w:t>
      </w:r>
      <w:r w:rsidRPr="00D539D0">
        <w:rPr>
          <w:rFonts w:ascii="Frutiger Next Pro" w:hAnsi="Frutiger Next Pro"/>
          <w:color w:val="000000"/>
        </w:rPr>
        <w:t>(Universidad de Oviedo),</w:t>
      </w:r>
      <w:r w:rsidRPr="00D539D0">
        <w:rPr>
          <w:rFonts w:ascii="Frutiger Next Pro" w:hAnsi="Frutiger Next Pro"/>
          <w:b/>
          <w:bCs/>
          <w:color w:val="000000"/>
        </w:rPr>
        <w:t xml:space="preserve"> Laurent Callegarin </w:t>
      </w:r>
      <w:r w:rsidRPr="00D539D0">
        <w:rPr>
          <w:rFonts w:ascii="Frutiger Next Pro" w:hAnsi="Frutiger Next Pro"/>
          <w:color w:val="000000"/>
        </w:rPr>
        <w:t xml:space="preserve">(Casa de Velázquez, Madrid), </w:t>
      </w:r>
      <w:r w:rsidRPr="00D539D0">
        <w:rPr>
          <w:rFonts w:ascii="Frutiger Next Pro" w:hAnsi="Frutiger Next Pro"/>
          <w:b/>
          <w:bCs/>
          <w:color w:val="000000"/>
        </w:rPr>
        <w:t xml:space="preserve">Jorge Camino Mayor </w:t>
      </w:r>
      <w:r w:rsidRPr="00D539D0">
        <w:rPr>
          <w:rFonts w:ascii="Frutiger Next Pro" w:hAnsi="Frutiger Next Pro"/>
          <w:color w:val="000000"/>
        </w:rPr>
        <w:t xml:space="preserve">(Gobierno del Principado de Asturias), </w:t>
      </w:r>
      <w:r w:rsidRPr="00D539D0">
        <w:rPr>
          <w:rFonts w:ascii="Frutiger Next Pro" w:hAnsi="Frutiger Next Pro"/>
          <w:b/>
          <w:bCs/>
          <w:color w:val="000000"/>
        </w:rPr>
        <w:t xml:space="preserve">Pedro C. Carvalho </w:t>
      </w:r>
      <w:r w:rsidRPr="00D539D0">
        <w:rPr>
          <w:rFonts w:ascii="Frutiger Next Pro" w:hAnsi="Frutiger Next Pro"/>
          <w:color w:val="000000"/>
        </w:rPr>
        <w:t>(Universidad</w:t>
      </w:r>
      <w:r>
        <w:rPr>
          <w:rFonts w:ascii="Frutiger Next Pro" w:hAnsi="Frutiger Next Pro"/>
          <w:color w:val="000000"/>
        </w:rPr>
        <w:t>e</w:t>
      </w:r>
      <w:r w:rsidRPr="00D539D0">
        <w:rPr>
          <w:rFonts w:ascii="Frutiger Next Pro" w:hAnsi="Frutiger Next Pro"/>
          <w:color w:val="000000"/>
        </w:rPr>
        <w:t xml:space="preserve"> d</w:t>
      </w:r>
      <w:r>
        <w:rPr>
          <w:rFonts w:ascii="Frutiger Next Pro" w:hAnsi="Frutiger Next Pro"/>
          <w:color w:val="000000"/>
        </w:rPr>
        <w:t>o</w:t>
      </w:r>
      <w:r w:rsidRPr="00D539D0">
        <w:rPr>
          <w:rFonts w:ascii="Frutiger Next Pro" w:hAnsi="Frutiger Next Pro"/>
          <w:color w:val="000000"/>
        </w:rPr>
        <w:t xml:space="preserve"> Coimbra), </w:t>
      </w:r>
      <w:r w:rsidRPr="00D539D0">
        <w:rPr>
          <w:rFonts w:ascii="Frutiger Next Pro" w:hAnsi="Frutiger Next Pro"/>
          <w:b/>
          <w:bCs/>
          <w:color w:val="000000"/>
        </w:rPr>
        <w:t xml:space="preserve">Pedro Castaños </w:t>
      </w:r>
      <w:r w:rsidRPr="00D539D0">
        <w:rPr>
          <w:rFonts w:ascii="Frutiger Next Pro" w:hAnsi="Frutiger Next Pro"/>
          <w:color w:val="000000"/>
        </w:rPr>
        <w:t xml:space="preserve">(Sociedad de Ciencias Aranzadi), </w:t>
      </w:r>
      <w:r w:rsidRPr="00D539D0">
        <w:rPr>
          <w:rFonts w:ascii="Frutiger Next Pro" w:hAnsi="Frutiger Next Pro"/>
          <w:b/>
          <w:bCs/>
          <w:color w:val="000000"/>
        </w:rPr>
        <w:t xml:space="preserve">Béatrice Cauuet </w:t>
      </w:r>
      <w:r w:rsidRPr="00D539D0">
        <w:rPr>
          <w:rFonts w:ascii="Frutiger Next Pro" w:hAnsi="Frutiger Next Pro"/>
          <w:color w:val="000000"/>
        </w:rPr>
        <w:t>(CNRS, TRACES, UMR 5608 Université Jean Jaurès Toulouse 2),</w:t>
      </w:r>
      <w:r w:rsidRPr="00D539D0">
        <w:rPr>
          <w:rFonts w:ascii="Frutiger Next Pro" w:hAnsi="Frutiger Next Pro"/>
          <w:b/>
          <w:bCs/>
          <w:color w:val="000000"/>
        </w:rPr>
        <w:t xml:space="preserve"> Veronica Cicolani </w:t>
      </w:r>
      <w:r w:rsidRPr="00D539D0">
        <w:rPr>
          <w:rFonts w:ascii="Frutiger Next Pro" w:hAnsi="Frutiger Next Pro"/>
          <w:color w:val="000000"/>
        </w:rPr>
        <w:t xml:space="preserve">(CNRS, AOrOc, UMR 8546, CNRS-PSL), </w:t>
      </w:r>
      <w:r w:rsidRPr="00D539D0">
        <w:rPr>
          <w:rFonts w:ascii="Frutiger Next Pro" w:hAnsi="Frutiger Next Pro"/>
          <w:b/>
          <w:bCs/>
          <w:color w:val="000000"/>
        </w:rPr>
        <w:t xml:space="preserve">Armando Coelho Ferreira da Silva </w:t>
      </w:r>
      <w:r w:rsidRPr="00D539D0">
        <w:rPr>
          <w:rFonts w:ascii="Frutiger Next Pro" w:hAnsi="Frutiger Next Pro"/>
          <w:color w:val="000000"/>
        </w:rPr>
        <w:t xml:space="preserve">(Universidade do Porto), </w:t>
      </w:r>
      <w:r w:rsidRPr="00D539D0">
        <w:rPr>
          <w:rFonts w:ascii="Frutiger Next Pro" w:hAnsi="Frutiger Next Pro"/>
          <w:b/>
          <w:bCs/>
          <w:color w:val="000000"/>
        </w:rPr>
        <w:t xml:space="preserve">John Collis </w:t>
      </w:r>
      <w:r w:rsidRPr="00D539D0">
        <w:rPr>
          <w:rFonts w:ascii="Frutiger Next Pro" w:hAnsi="Frutiger Next Pro"/>
          <w:color w:val="000000"/>
        </w:rPr>
        <w:t xml:space="preserve">(University of Sheffield), </w:t>
      </w:r>
      <w:r w:rsidRPr="00D539D0">
        <w:rPr>
          <w:rFonts w:ascii="Frutiger Next Pro" w:hAnsi="Frutiger Next Pro"/>
          <w:b/>
          <w:bCs/>
          <w:color w:val="000000"/>
        </w:rPr>
        <w:t xml:space="preserve">Germán Delibes Castro </w:t>
      </w:r>
      <w:r w:rsidRPr="00D539D0">
        <w:rPr>
          <w:rFonts w:ascii="Frutiger Next Pro" w:hAnsi="Frutiger Next Pro"/>
          <w:color w:val="000000"/>
        </w:rPr>
        <w:t xml:space="preserve">(Universidad de Valladolid), </w:t>
      </w:r>
      <w:r w:rsidRPr="00D539D0">
        <w:rPr>
          <w:rFonts w:ascii="Frutiger Next Pro" w:hAnsi="Frutiger Next Pro"/>
          <w:b/>
          <w:bCs/>
          <w:color w:val="000000"/>
        </w:rPr>
        <w:t xml:space="preserve">Clara Filet </w:t>
      </w:r>
      <w:r w:rsidRPr="00D539D0">
        <w:rPr>
          <w:rFonts w:ascii="Frutiger Next Pro" w:hAnsi="Frutiger Next Pro"/>
          <w:color w:val="000000"/>
        </w:rPr>
        <w:t xml:space="preserve">(Université de Paris 1 Panthéon Sorbonne), </w:t>
      </w:r>
      <w:r w:rsidRPr="00D539D0">
        <w:rPr>
          <w:rFonts w:ascii="Frutiger Next Pro" w:hAnsi="Frutiger Next Pro"/>
          <w:b/>
          <w:bCs/>
          <w:color w:val="000000"/>
        </w:rPr>
        <w:t>Dominique</w:t>
      </w:r>
      <w:r w:rsidRPr="00D539D0">
        <w:rPr>
          <w:rFonts w:ascii="Frutiger Next Pro" w:hAnsi="Frutiger Next Pro"/>
          <w:color w:val="000000"/>
        </w:rPr>
        <w:t xml:space="preserve"> </w:t>
      </w:r>
      <w:r w:rsidRPr="00D539D0">
        <w:rPr>
          <w:rFonts w:ascii="Frutiger Next Pro" w:hAnsi="Frutiger Next Pro"/>
          <w:b/>
          <w:bCs/>
          <w:color w:val="000000"/>
        </w:rPr>
        <w:t xml:space="preserve">Frère </w:t>
      </w:r>
      <w:r w:rsidRPr="00D539D0">
        <w:rPr>
          <w:rFonts w:ascii="Frutiger Next Pro" w:hAnsi="Frutiger Next Pro"/>
          <w:color w:val="000000"/>
        </w:rPr>
        <w:t xml:space="preserve">(Université Bretagne Sud), </w:t>
      </w:r>
      <w:r w:rsidRPr="00D539D0">
        <w:rPr>
          <w:rFonts w:ascii="Frutiger Next Pro" w:hAnsi="Frutiger Next Pro"/>
          <w:b/>
          <w:bCs/>
          <w:color w:val="000000"/>
        </w:rPr>
        <w:t xml:space="preserve">Sebastian Fürst </w:t>
      </w:r>
      <w:r w:rsidRPr="00D539D0">
        <w:rPr>
          <w:rFonts w:ascii="Frutiger Next Pro" w:hAnsi="Frutiger Next Pro"/>
          <w:color w:val="000000"/>
        </w:rPr>
        <w:t>(CEZ Archäometrie, Mannheim),</w:t>
      </w:r>
      <w:r w:rsidRPr="00D539D0">
        <w:rPr>
          <w:rFonts w:ascii="Frutiger Next Pro" w:hAnsi="Frutiger Next Pro"/>
          <w:b/>
          <w:bCs/>
          <w:color w:val="000000"/>
        </w:rPr>
        <w:t xml:space="preserve"> Margarita Gleba </w:t>
      </w:r>
      <w:r w:rsidRPr="00D539D0">
        <w:rPr>
          <w:rFonts w:ascii="Frutiger Next Pro" w:hAnsi="Frutiger Next Pro"/>
          <w:color w:val="000000"/>
        </w:rPr>
        <w:t xml:space="preserve">(Ludwig-Maximilians-Universität, München), </w:t>
      </w:r>
      <w:r w:rsidRPr="00D539D0">
        <w:rPr>
          <w:rFonts w:ascii="Frutiger Next Pro" w:hAnsi="Frutiger Next Pro"/>
          <w:b/>
          <w:bCs/>
          <w:color w:val="000000"/>
        </w:rPr>
        <w:t xml:space="preserve">Eneko Hiriart </w:t>
      </w:r>
      <w:r w:rsidRPr="00D539D0">
        <w:rPr>
          <w:rFonts w:ascii="Frutiger Next Pro" w:hAnsi="Frutiger Next Pro"/>
          <w:color w:val="000000"/>
        </w:rPr>
        <w:t xml:space="preserve">(CNRS, IRAMAT-CRP2A, UMR 5060, Université Bordeaux Montaigne), </w:t>
      </w:r>
      <w:r w:rsidRPr="00D539D0">
        <w:rPr>
          <w:rFonts w:ascii="Frutiger Next Pro" w:hAnsi="Frutiger Next Pro"/>
          <w:b/>
          <w:bCs/>
          <w:color w:val="000000"/>
        </w:rPr>
        <w:t xml:space="preserve">Dirce Marzoli </w:t>
      </w:r>
      <w:r w:rsidRPr="00D539D0">
        <w:rPr>
          <w:rFonts w:ascii="Frutiger Next Pro" w:hAnsi="Frutiger Next Pro"/>
          <w:color w:val="000000"/>
        </w:rPr>
        <w:t>(</w:t>
      </w:r>
      <w:r w:rsidRPr="00226890">
        <w:rPr>
          <w:rFonts w:ascii="Frutiger Next Pro" w:eastAsia="Times New Roman" w:hAnsi="Frutiger Next Pro" w:cs="Times New Roman"/>
          <w:bCs/>
          <w:kern w:val="36"/>
        </w:rPr>
        <w:t>Deutsches Archäologisches Institut</w:t>
      </w:r>
      <w:r>
        <w:rPr>
          <w:rFonts w:ascii="Frutiger Next Pro" w:eastAsia="Times New Roman" w:hAnsi="Frutiger Next Pro" w:cs="Times New Roman"/>
          <w:bCs/>
          <w:kern w:val="36"/>
        </w:rPr>
        <w:t>,</w:t>
      </w:r>
      <w:r w:rsidRPr="00D539D0">
        <w:rPr>
          <w:rFonts w:ascii="Frutiger Next Pro" w:hAnsi="Frutiger Next Pro"/>
          <w:color w:val="000000"/>
        </w:rPr>
        <w:t xml:space="preserve"> Madrid),</w:t>
      </w:r>
      <w:r w:rsidRPr="00D539D0">
        <w:rPr>
          <w:rFonts w:ascii="Frutiger Next Pro" w:hAnsi="Frutiger Next Pro"/>
          <w:b/>
          <w:bCs/>
          <w:color w:val="000000"/>
        </w:rPr>
        <w:t xml:space="preserve"> Emmanuelle Meunier</w:t>
      </w:r>
      <w:r w:rsidRPr="00D539D0">
        <w:rPr>
          <w:rFonts w:ascii="Frutiger Next Pro" w:hAnsi="Frutiger Next Pro"/>
          <w:color w:val="000000"/>
        </w:rPr>
        <w:t xml:space="preserve"> (</w:t>
      </w:r>
      <w:r w:rsidRPr="00D539D0">
        <w:rPr>
          <w:rFonts w:ascii="Frutiger Next Pro" w:hAnsi="Frutiger Next Pro"/>
          <w:color w:val="000000"/>
          <w:shd w:val="clear" w:color="auto" w:fill="FFFFFF"/>
        </w:rPr>
        <w:t>Universidade Nova de Lisboa</w:t>
      </w:r>
      <w:r w:rsidRPr="00D539D0">
        <w:rPr>
          <w:rFonts w:ascii="Frutiger Next Pro" w:hAnsi="Frutiger Next Pro"/>
          <w:color w:val="000000"/>
        </w:rPr>
        <w:t xml:space="preserve">), </w:t>
      </w:r>
      <w:r w:rsidRPr="00D539D0">
        <w:rPr>
          <w:rFonts w:ascii="Frutiger Next Pro" w:hAnsi="Frutiger Next Pro"/>
          <w:b/>
          <w:bCs/>
          <w:color w:val="000000"/>
        </w:rPr>
        <w:t xml:space="preserve">Ariadna Nieto Espinet </w:t>
      </w:r>
      <w:r w:rsidRPr="00D539D0">
        <w:rPr>
          <w:rFonts w:ascii="Frutiger Next Pro" w:hAnsi="Frutiger Next Pro"/>
          <w:color w:val="000000"/>
        </w:rPr>
        <w:t xml:space="preserve">(IMF-CSIC, Archaeology of Social Dynamics, ASD, Barcelona), </w:t>
      </w:r>
      <w:r w:rsidRPr="00D539D0">
        <w:rPr>
          <w:rFonts w:ascii="Frutiger Next Pro" w:hAnsi="Frutiger Next Pro"/>
          <w:b/>
          <w:bCs/>
          <w:color w:val="000000"/>
        </w:rPr>
        <w:t xml:space="preserve">Carlos Olaetxea </w:t>
      </w:r>
      <w:r w:rsidRPr="00D539D0">
        <w:rPr>
          <w:rFonts w:ascii="Frutiger Next Pro" w:hAnsi="Frutiger Next Pro"/>
          <w:color w:val="000000"/>
        </w:rPr>
        <w:t xml:space="preserve">(Gipuzkoako Foru Aldundia / Diputación Foral de Gipuzkoa), </w:t>
      </w:r>
      <w:r w:rsidRPr="00D539D0">
        <w:rPr>
          <w:rFonts w:ascii="Frutiger Next Pro" w:hAnsi="Frutiger Next Pro"/>
          <w:b/>
          <w:bCs/>
          <w:color w:val="000000"/>
        </w:rPr>
        <w:t xml:space="preserve">Mark Pearce </w:t>
      </w:r>
      <w:r w:rsidRPr="00D539D0">
        <w:rPr>
          <w:rFonts w:ascii="Frutiger Next Pro" w:hAnsi="Frutiger Next Pro"/>
          <w:color w:val="000000"/>
        </w:rPr>
        <w:t xml:space="preserve">(University of Nottingham), </w:t>
      </w:r>
      <w:r w:rsidRPr="00D539D0">
        <w:rPr>
          <w:rFonts w:ascii="Frutiger Next Pro" w:hAnsi="Frutiger Next Pro"/>
          <w:b/>
          <w:bCs/>
          <w:color w:val="000000"/>
        </w:rPr>
        <w:t>Alessandro Peinetti</w:t>
      </w:r>
      <w:r w:rsidRPr="00D539D0">
        <w:rPr>
          <w:rFonts w:ascii="Frutiger Next Pro" w:hAnsi="Frutiger Next Pro"/>
          <w:color w:val="000000"/>
        </w:rPr>
        <w:t xml:space="preserve"> (ASM, UMR 5140, Université Paul-Valéry Montpellier 3), </w:t>
      </w:r>
      <w:r w:rsidRPr="00D539D0">
        <w:rPr>
          <w:rFonts w:ascii="Frutiger Next Pro" w:hAnsi="Frutiger Next Pro"/>
          <w:b/>
          <w:bCs/>
          <w:color w:val="000000"/>
        </w:rPr>
        <w:t>Salvador Rovira Llorens</w:t>
      </w:r>
      <w:r>
        <w:rPr>
          <w:rFonts w:ascii="Frutiger Next Pro" w:hAnsi="Frutiger Next Pro"/>
          <w:color w:val="000000"/>
        </w:rPr>
        <w:t xml:space="preserve"> (M.A.N.</w:t>
      </w:r>
      <w:r w:rsidRPr="00D539D0">
        <w:rPr>
          <w:rFonts w:ascii="Frutiger Next Pro" w:hAnsi="Frutiger Next Pro"/>
          <w:color w:val="000000"/>
        </w:rPr>
        <w:t xml:space="preserve">, Madrid), </w:t>
      </w:r>
      <w:r w:rsidRPr="00D539D0">
        <w:rPr>
          <w:rFonts w:ascii="Frutiger Next Pro" w:hAnsi="Frutiger Next Pro"/>
          <w:b/>
          <w:bCs/>
          <w:color w:val="000000"/>
        </w:rPr>
        <w:t xml:space="preserve">Francisco Javier Sánchez Palencia </w:t>
      </w:r>
      <w:r w:rsidRPr="00D539D0">
        <w:rPr>
          <w:rFonts w:ascii="Frutiger Next Pro" w:hAnsi="Frutiger Next Pro"/>
          <w:color w:val="000000"/>
        </w:rPr>
        <w:t xml:space="preserve">(CSIC, Madrid), </w:t>
      </w:r>
      <w:r w:rsidRPr="00D539D0">
        <w:rPr>
          <w:rFonts w:ascii="Frutiger Next Pro" w:hAnsi="Frutiger Next Pro"/>
          <w:b/>
          <w:bCs/>
          <w:color w:val="000000"/>
        </w:rPr>
        <w:t xml:space="preserve">Ángel Villa Valdés </w:t>
      </w:r>
      <w:r w:rsidRPr="00D539D0">
        <w:rPr>
          <w:rFonts w:ascii="Frutiger Next Pro" w:hAnsi="Frutiger Next Pro"/>
          <w:color w:val="000000"/>
        </w:rPr>
        <w:t>(Museo Arqueológico de Asturias)</w:t>
      </w:r>
    </w:p>
    <w:p w:rsidR="00897CAC" w:rsidRPr="00D05DC2" w:rsidRDefault="00897CAC" w:rsidP="00897CAC">
      <w:pPr>
        <w:spacing w:after="100" w:line="252" w:lineRule="auto"/>
        <w:rPr>
          <w:rFonts w:ascii="Frutiger Next Pro" w:eastAsia="Garamond" w:hAnsi="Frutiger Next Pro" w:cs="Garamond"/>
          <w:b/>
        </w:rPr>
      </w:pPr>
    </w:p>
    <w:p w:rsidR="00F6086F" w:rsidRPr="00D062EA" w:rsidRDefault="00F6086F" w:rsidP="00D062EA"/>
    <w:sectPr w:rsidR="00F6086F" w:rsidRPr="00D062EA" w:rsidSect="00FF33F8">
      <w:headerReference w:type="even" r:id="rId11"/>
      <w:headerReference w:type="default" r:id="rId12"/>
      <w:footerReference w:type="even" r:id="rId13"/>
      <w:footerReference w:type="default" r:id="rId14"/>
      <w:headerReference w:type="first" r:id="rId15"/>
      <w:footerReference w:type="first" r:id="rId16"/>
      <w:pgSz w:w="11906" w:h="16838"/>
      <w:pgMar w:top="2376" w:right="1134" w:bottom="1418" w:left="1531" w:header="709" w:footer="86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C7" w:rsidRDefault="00747EC7">
      <w:pPr>
        <w:spacing w:after="0" w:line="240" w:lineRule="auto"/>
      </w:pPr>
      <w:r>
        <w:separator/>
      </w:r>
    </w:p>
  </w:endnote>
  <w:endnote w:type="continuationSeparator" w:id="0">
    <w:p w:rsidR="00747EC7" w:rsidRDefault="0074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utiger Next Pro">
    <w:panose1 w:val="00000000000000000000"/>
    <w:charset w:val="00"/>
    <w:family w:val="swiss"/>
    <w:notTrueType/>
    <w:pitch w:val="variable"/>
    <w:sig w:usb0="800000AF" w:usb1="5000204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D4" w:rsidRDefault="003842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423337"/>
      <w:docPartObj>
        <w:docPartGallery w:val="Page Numbers (Bottom of Page)"/>
        <w:docPartUnique/>
      </w:docPartObj>
    </w:sdtPr>
    <w:sdtEndPr>
      <w:rPr>
        <w:color w:val="BFBFBF" w:themeColor="background1" w:themeShade="BF"/>
      </w:rPr>
    </w:sdtEndPr>
    <w:sdtContent>
      <w:p w:rsidR="00D539D0" w:rsidRDefault="00A74F4C" w:rsidP="00D539D0">
        <w:pPr>
          <w:pStyle w:val="Piedepgina"/>
          <w:jc w:val="center"/>
        </w:pPr>
        <w:r>
          <w:rPr>
            <w:noProof/>
          </w:rPr>
          <mc:AlternateContent>
            <mc:Choice Requires="wpg">
              <w:drawing>
                <wp:anchor distT="0" distB="0" distL="114300" distR="114300" simplePos="0" relativeHeight="251661312" behindDoc="0" locked="0" layoutInCell="1" allowOverlap="1">
                  <wp:simplePos x="0" y="0"/>
                  <wp:positionH relativeFrom="column">
                    <wp:posOffset>-235585</wp:posOffset>
                  </wp:positionH>
                  <wp:positionV relativeFrom="paragraph">
                    <wp:posOffset>-127635</wp:posOffset>
                  </wp:positionV>
                  <wp:extent cx="6326822" cy="1057910"/>
                  <wp:effectExtent l="0" t="0" r="0" b="0"/>
                  <wp:wrapNone/>
                  <wp:docPr id="24" name="24 Grupo"/>
                  <wp:cNvGraphicFramePr/>
                  <a:graphic xmlns:a="http://schemas.openxmlformats.org/drawingml/2006/main">
                    <a:graphicData uri="http://schemas.microsoft.com/office/word/2010/wordprocessingGroup">
                      <wpg:wgp>
                        <wpg:cNvGrpSpPr/>
                        <wpg:grpSpPr>
                          <a:xfrm>
                            <a:off x="0" y="0"/>
                            <a:ext cx="6326822" cy="1057910"/>
                            <a:chOff x="0" y="0"/>
                            <a:chExt cx="6326822" cy="1057910"/>
                          </a:xfrm>
                        </wpg:grpSpPr>
                        <wps:wsp>
                          <wps:cNvPr id="21" name="21 Cuadro de texto"/>
                          <wps:cNvSpPr txBox="1"/>
                          <wps:spPr>
                            <a:xfrm>
                              <a:off x="4914900" y="76200"/>
                              <a:ext cx="76581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406F" w:rsidRDefault="0093406F">
                                <w:r>
                                  <w:rPr>
                                    <w:noProof/>
                                  </w:rPr>
                                  <w:drawing>
                                    <wp:inline distT="0" distB="0" distL="0" distR="0" wp14:anchorId="3912A99C" wp14:editId="1C019D57">
                                      <wp:extent cx="576580" cy="57658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
                                                <a:extLst>
                                                  <a:ext uri="{28A0092B-C50C-407E-A947-70E740481C1C}">
                                                    <a14:useLocalDpi xmlns:a14="http://schemas.microsoft.com/office/drawing/2010/main" val="0"/>
                                                  </a:ext>
                                                </a:extLst>
                                              </a:blip>
                                              <a:stretch>
                                                <a:fillRect/>
                                              </a:stretch>
                                            </pic:blipFill>
                                            <pic:spPr>
                                              <a:xfrm>
                                                <a:off x="0" y="0"/>
                                                <a:ext cx="576580" cy="57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4 Cuadro de texto"/>
                          <wps:cNvSpPr txBox="1"/>
                          <wps:spPr>
                            <a:xfrm>
                              <a:off x="1223962" y="0"/>
                              <a:ext cx="838200" cy="89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D539D0" w:rsidP="00D539D0">
                                <w:pPr>
                                  <w:ind w:left="-142"/>
                                </w:pPr>
                                <w:r>
                                  <w:rPr>
                                    <w:noProof/>
                                  </w:rPr>
                                  <w:drawing>
                                    <wp:inline distT="0" distB="0" distL="0" distR="0" wp14:anchorId="4DADFB77" wp14:editId="2694D3F5">
                                      <wp:extent cx="833966" cy="833966"/>
                                      <wp:effectExtent l="0" t="0" r="0" b="444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Academia.png"/>
                                              <pic:cNvPicPr/>
                                            </pic:nvPicPr>
                                            <pic:blipFill>
                                              <a:blip r:embed="rId2">
                                                <a:extLst>
                                                  <a:ext uri="{28A0092B-C50C-407E-A947-70E740481C1C}">
                                                    <a14:useLocalDpi xmlns:a14="http://schemas.microsoft.com/office/drawing/2010/main" val="0"/>
                                                  </a:ext>
                                                </a:extLst>
                                              </a:blip>
                                              <a:stretch>
                                                <a:fillRect/>
                                              </a:stretch>
                                            </pic:blipFill>
                                            <pic:spPr>
                                              <a:xfrm>
                                                <a:off x="0" y="0"/>
                                                <a:ext cx="831651" cy="831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5 Cuadro de texto"/>
                          <wps:cNvSpPr txBox="1"/>
                          <wps:spPr>
                            <a:xfrm>
                              <a:off x="2605087" y="0"/>
                              <a:ext cx="1570355" cy="1057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D539D0" w:rsidP="00D539D0">
                                <w:r>
                                  <w:rPr>
                                    <w:noProof/>
                                  </w:rPr>
                                  <w:drawing>
                                    <wp:inline distT="0" distB="0" distL="0" distR="0" wp14:anchorId="633CE6EC" wp14:editId="3273CBCB">
                                      <wp:extent cx="1430611" cy="899551"/>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Instituto de Estudios Asturianos.jpg"/>
                                              <pic:cNvPicPr/>
                                            </pic:nvPicPr>
                                            <pic:blipFill>
                                              <a:blip r:embed="rId3">
                                                <a:extLst>
                                                  <a:ext uri="{28A0092B-C50C-407E-A947-70E740481C1C}">
                                                    <a14:useLocalDpi xmlns:a14="http://schemas.microsoft.com/office/drawing/2010/main" val="0"/>
                                                  </a:ext>
                                                </a:extLst>
                                              </a:blip>
                                              <a:stretch>
                                                <a:fillRect/>
                                              </a:stretch>
                                            </pic:blipFill>
                                            <pic:spPr>
                                              <a:xfrm>
                                                <a:off x="0" y="0"/>
                                                <a:ext cx="1433458" cy="901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6 Grupo"/>
                          <wpg:cNvGrpSpPr/>
                          <wpg:grpSpPr>
                            <a:xfrm>
                              <a:off x="2000250" y="61912"/>
                              <a:ext cx="880110" cy="744855"/>
                              <a:chOff x="0" y="0"/>
                              <a:chExt cx="880533" cy="745066"/>
                            </a:xfrm>
                          </wpg:grpSpPr>
                          <wps:wsp>
                            <wps:cNvPr id="17" name="17 Cuadro de texto"/>
                            <wps:cNvSpPr txBox="1"/>
                            <wps:spPr>
                              <a:xfrm>
                                <a:off x="0" y="0"/>
                                <a:ext cx="880533"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Pr="008E4BF9" w:rsidRDefault="00D539D0" w:rsidP="00D539D0">
                                  <w:pPr>
                                    <w:rPr>
                                      <w:sz w:val="16"/>
                                      <w:szCs w:val="16"/>
                                    </w:rPr>
                                  </w:pPr>
                                  <w:r>
                                    <w:rPr>
                                      <w:noProof/>
                                      <w:sz w:val="16"/>
                                      <w:szCs w:val="16"/>
                                    </w:rPr>
                                    <w:drawing>
                                      <wp:inline distT="0" distB="0" distL="0" distR="0" wp14:anchorId="22203492" wp14:editId="488D9669">
                                        <wp:extent cx="532800" cy="266400"/>
                                        <wp:effectExtent l="38100" t="38100" r="38735" b="3873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
                                                  <a:extLst>
                                                    <a:ext uri="{28A0092B-C50C-407E-A947-70E740481C1C}">
                                                      <a14:useLocalDpi xmlns:a14="http://schemas.microsoft.com/office/drawing/2010/main" val="0"/>
                                                    </a:ext>
                                                  </a:extLst>
                                                </a:blip>
                                                <a:stretch>
                                                  <a:fillRect/>
                                                </a:stretch>
                                              </pic:blipFill>
                                              <pic:spPr>
                                                <a:xfrm>
                                                  <a:off x="0" y="0"/>
                                                  <a:ext cx="532800" cy="266400"/>
                                                </a:xfrm>
                                                <a:prstGeom prst="rect">
                                                  <a:avLst/>
                                                </a:prstGeom>
                                                <a:solidFill>
                                                  <a:schemeClr val="lt1"/>
                                                </a:solidFill>
                                                <a:effectLst>
                                                  <a:glow rad="25400">
                                                    <a:schemeClr val="accent1">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13 Cuadro de texto"/>
                            <wps:cNvSpPr txBox="1"/>
                            <wps:spPr>
                              <a:xfrm>
                                <a:off x="12700" y="364066"/>
                                <a:ext cx="75755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DD4291" w:rsidP="00D539D0">
                                  <w:r>
                                    <w:rPr>
                                      <w:noProof/>
                                    </w:rPr>
                                    <w:drawing>
                                      <wp:inline distT="0" distB="0" distL="0" distR="0" wp14:anchorId="6FD4B714" wp14:editId="4E807AB1">
                                        <wp:extent cx="568325" cy="253365"/>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L-2.jpg"/>
                                                <pic:cNvPicPr/>
                                              </pic:nvPicPr>
                                              <pic:blipFill>
                                                <a:blip r:embed="rId5">
                                                  <a:extLst>
                                                    <a:ext uri="{28A0092B-C50C-407E-A947-70E740481C1C}">
                                                      <a14:useLocalDpi xmlns:a14="http://schemas.microsoft.com/office/drawing/2010/main" val="0"/>
                                                    </a:ext>
                                                  </a:extLst>
                                                </a:blip>
                                                <a:stretch>
                                                  <a:fillRect/>
                                                </a:stretch>
                                              </pic:blipFill>
                                              <pic:spPr>
                                                <a:xfrm>
                                                  <a:off x="0" y="0"/>
                                                  <a:ext cx="568325" cy="253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23 Grupo"/>
                          <wpg:cNvGrpSpPr/>
                          <wpg:grpSpPr>
                            <a:xfrm>
                              <a:off x="3881437" y="95250"/>
                              <a:ext cx="1146810" cy="732155"/>
                              <a:chOff x="0" y="0"/>
                              <a:chExt cx="1146810" cy="732155"/>
                            </a:xfrm>
                          </wpg:grpSpPr>
                          <wps:wsp>
                            <wps:cNvPr id="7" name="7 Cuadro de texto"/>
                            <wps:cNvSpPr txBox="1"/>
                            <wps:spPr>
                              <a:xfrm>
                                <a:off x="157162" y="0"/>
                                <a:ext cx="83375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D539D0" w:rsidP="00D539D0">
                                  <w:r>
                                    <w:rPr>
                                      <w:noProof/>
                                    </w:rPr>
                                    <w:drawing>
                                      <wp:inline distT="0" distB="0" distL="0" distR="0" wp14:anchorId="07AC78CC" wp14:editId="7EA2E4DA">
                                        <wp:extent cx="608400" cy="270000"/>
                                        <wp:effectExtent l="0" t="0" r="127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mat_couleur0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400" cy="27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12 Cuadro de texto"/>
                            <wps:cNvSpPr txBox="1"/>
                            <wps:spPr>
                              <a:xfrm>
                                <a:off x="0" y="304800"/>
                                <a:ext cx="1146810"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5B36CD" w:rsidP="00D539D0">
                                  <w:r>
                                    <w:rPr>
                                      <w:noProof/>
                                    </w:rPr>
                                    <w:drawing>
                                      <wp:inline distT="0" distB="0" distL="0" distR="0" wp14:anchorId="77080311" wp14:editId="096A94D8">
                                        <wp:extent cx="957580" cy="304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_bordeaux-montaigne_2014_logo.jpg"/>
                                                <pic:cNvPicPr/>
                                              </pic:nvPicPr>
                                              <pic:blipFill>
                                                <a:blip r:embed="rId7">
                                                  <a:extLst>
                                                    <a:ext uri="{28A0092B-C50C-407E-A947-70E740481C1C}">
                                                      <a14:useLocalDpi xmlns:a14="http://schemas.microsoft.com/office/drawing/2010/main" val="0"/>
                                                    </a:ext>
                                                  </a:extLst>
                                                </a:blip>
                                                <a:stretch>
                                                  <a:fillRect/>
                                                </a:stretch>
                                              </pic:blipFill>
                                              <pic:spPr>
                                                <a:xfrm>
                                                  <a:off x="0" y="0"/>
                                                  <a:ext cx="957580" cy="30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19 Cuadro de texto"/>
                          <wps:cNvSpPr txBox="1"/>
                          <wps:spPr>
                            <a:xfrm>
                              <a:off x="5624512" y="95250"/>
                              <a:ext cx="702310" cy="706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9D0" w:rsidRDefault="00D539D0" w:rsidP="00D539D0">
                                <w:r>
                                  <w:rPr>
                                    <w:noProof/>
                                  </w:rPr>
                                  <w:drawing>
                                    <wp:inline distT="0" distB="0" distL="0" distR="0" wp14:anchorId="6EA432F3" wp14:editId="2C43759C">
                                      <wp:extent cx="571643" cy="562570"/>
                                      <wp:effectExtent l="0" t="0" r="0" b="952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if neu Bl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086" cy="564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18 Grupo"/>
                          <wpg:cNvGrpSpPr/>
                          <wpg:grpSpPr>
                            <a:xfrm>
                              <a:off x="0" y="66675"/>
                              <a:ext cx="1354455" cy="799888"/>
                              <a:chOff x="0" y="0"/>
                              <a:chExt cx="1354455" cy="800085"/>
                            </a:xfrm>
                          </wpg:grpSpPr>
                          <wps:wsp>
                            <wps:cNvPr id="15" name="15 Cuadro de texto"/>
                            <wps:cNvSpPr txBox="1"/>
                            <wps:spPr>
                              <a:xfrm>
                                <a:off x="29633" y="423099"/>
                                <a:ext cx="1100667" cy="3769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3AF" w:rsidRDefault="00C402E8">
                                  <w:r>
                                    <w:rPr>
                                      <w:noProof/>
                                    </w:rPr>
                                    <w:drawing>
                                      <wp:inline distT="0" distB="0" distL="0" distR="0" wp14:anchorId="38B3A78F" wp14:editId="5F2FE034">
                                        <wp:extent cx="810000" cy="2556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VELAZQUEZ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0000" cy="25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10 Cuadro de texto"/>
                            <wps:cNvSpPr txBox="1"/>
                            <wps:spPr>
                              <a:xfrm>
                                <a:off x="0" y="0"/>
                                <a:ext cx="1354455"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3964" w:rsidRDefault="00CF3964" w:rsidP="00CF3964">
                                  <w:pPr>
                                    <w:ind w:left="-142"/>
                                  </w:pPr>
                                  <w:r>
                                    <w:rPr>
                                      <w:noProof/>
                                    </w:rPr>
                                    <w:drawing>
                                      <wp:inline distT="0" distB="0" distL="0" distR="0" wp14:anchorId="0A5B1743" wp14:editId="63982819">
                                        <wp:extent cx="1164166" cy="394911"/>
                                        <wp:effectExtent l="0" t="0" r="0" b="571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Arqueológico de Asturias. Negativo cop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5538" cy="395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24 Grupo" o:spid="_x0000_s1029" style="position:absolute;left:0;text-align:left;margin-left:-18.55pt;margin-top:-10.05pt;width:498.15pt;height:83.3pt;z-index:251661312" coordsize="63268,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">
                  <v:shapetype id="_x0000_t202" coordsize="21600,21600" o:spt="202" path="m,l,21600r21600,l21600,xe">
                    <v:stroke joinstyle="miter"/>
                    <v:path gradientshapeok="t" o:connecttype="rect"/>
                  </v:shapetype>
                  <v:shape id="21 Cuadro de texto" o:spid="_x0000_s1030" type="#_x0000_t202" style="position:absolute;left:49149;top:762;width:76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93406F" w:rsidRDefault="0093406F">
                          <w:r>
                            <w:rPr>
                              <w:noProof/>
                            </w:rPr>
                            <w:drawing>
                              <wp:inline distT="0" distB="0" distL="0" distR="0" wp14:anchorId="3912A99C" wp14:editId="1C019D57">
                                <wp:extent cx="576580" cy="57658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
                                          <a:extLst>
                                            <a:ext uri="{28A0092B-C50C-407E-A947-70E740481C1C}">
                                              <a14:useLocalDpi xmlns:a14="http://schemas.microsoft.com/office/drawing/2010/main" val="0"/>
                                            </a:ext>
                                          </a:extLst>
                                        </a:blip>
                                        <a:stretch>
                                          <a:fillRect/>
                                        </a:stretch>
                                      </pic:blipFill>
                                      <pic:spPr>
                                        <a:xfrm>
                                          <a:off x="0" y="0"/>
                                          <a:ext cx="576580" cy="576580"/>
                                        </a:xfrm>
                                        <a:prstGeom prst="rect">
                                          <a:avLst/>
                                        </a:prstGeom>
                                      </pic:spPr>
                                    </pic:pic>
                                  </a:graphicData>
                                </a:graphic>
                              </wp:inline>
                            </w:drawing>
                          </w:r>
                        </w:p>
                      </w:txbxContent>
                    </v:textbox>
                  </v:shape>
                  <v:shape id="4 Cuadro de texto" o:spid="_x0000_s1031" type="#_x0000_t202" style="position:absolute;left:12239;width:8382;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D539D0" w:rsidRDefault="00D539D0" w:rsidP="00D539D0">
                          <w:pPr>
                            <w:ind w:left="-142"/>
                          </w:pPr>
                          <w:r>
                            <w:rPr>
                              <w:noProof/>
                            </w:rPr>
                            <w:drawing>
                              <wp:inline distT="0" distB="0" distL="0" distR="0" wp14:anchorId="4DADFB77" wp14:editId="2694D3F5">
                                <wp:extent cx="833966" cy="833966"/>
                                <wp:effectExtent l="0" t="0" r="0" b="444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Academia.png"/>
                                        <pic:cNvPicPr/>
                                      </pic:nvPicPr>
                                      <pic:blipFill>
                                        <a:blip r:embed="rId12">
                                          <a:extLst>
                                            <a:ext uri="{28A0092B-C50C-407E-A947-70E740481C1C}">
                                              <a14:useLocalDpi xmlns:a14="http://schemas.microsoft.com/office/drawing/2010/main" val="0"/>
                                            </a:ext>
                                          </a:extLst>
                                        </a:blip>
                                        <a:stretch>
                                          <a:fillRect/>
                                        </a:stretch>
                                      </pic:blipFill>
                                      <pic:spPr>
                                        <a:xfrm>
                                          <a:off x="0" y="0"/>
                                          <a:ext cx="831651" cy="831651"/>
                                        </a:xfrm>
                                        <a:prstGeom prst="rect">
                                          <a:avLst/>
                                        </a:prstGeom>
                                      </pic:spPr>
                                    </pic:pic>
                                  </a:graphicData>
                                </a:graphic>
                              </wp:inline>
                            </w:drawing>
                          </w:r>
                        </w:p>
                      </w:txbxContent>
                    </v:textbox>
                  </v:shape>
                  <v:shape id="5 Cuadro de texto" o:spid="_x0000_s1032" type="#_x0000_t202" style="position:absolute;left:26050;width:15704;height:1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D539D0" w:rsidRDefault="00D539D0" w:rsidP="00D539D0">
                          <w:r>
                            <w:rPr>
                              <w:noProof/>
                            </w:rPr>
                            <w:drawing>
                              <wp:inline distT="0" distB="0" distL="0" distR="0" wp14:anchorId="633CE6EC" wp14:editId="3273CBCB">
                                <wp:extent cx="1430611" cy="899551"/>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Instituto de Estudios Asturianos.jpg"/>
                                        <pic:cNvPicPr/>
                                      </pic:nvPicPr>
                                      <pic:blipFill>
                                        <a:blip r:embed="rId13">
                                          <a:extLst>
                                            <a:ext uri="{28A0092B-C50C-407E-A947-70E740481C1C}">
                                              <a14:useLocalDpi xmlns:a14="http://schemas.microsoft.com/office/drawing/2010/main" val="0"/>
                                            </a:ext>
                                          </a:extLst>
                                        </a:blip>
                                        <a:stretch>
                                          <a:fillRect/>
                                        </a:stretch>
                                      </pic:blipFill>
                                      <pic:spPr>
                                        <a:xfrm>
                                          <a:off x="0" y="0"/>
                                          <a:ext cx="1433458" cy="901341"/>
                                        </a:xfrm>
                                        <a:prstGeom prst="rect">
                                          <a:avLst/>
                                        </a:prstGeom>
                                      </pic:spPr>
                                    </pic:pic>
                                  </a:graphicData>
                                </a:graphic>
                              </wp:inline>
                            </w:drawing>
                          </w:r>
                        </w:p>
                      </w:txbxContent>
                    </v:textbox>
                  </v:shape>
                  <v:group id="6 Grupo" o:spid="_x0000_s1033" style="position:absolute;left:20002;top:619;width:8801;height:7448" coordsize="8805,7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17 Cuadro de texto" o:spid="_x0000_s1034" type="#_x0000_t202" style="position:absolute;width:88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D539D0" w:rsidRPr="008E4BF9" w:rsidRDefault="00D539D0" w:rsidP="00D539D0">
                            <w:pPr>
                              <w:rPr>
                                <w:sz w:val="16"/>
                                <w:szCs w:val="16"/>
                              </w:rPr>
                            </w:pPr>
                            <w:r>
                              <w:rPr>
                                <w:noProof/>
                                <w:sz w:val="16"/>
                                <w:szCs w:val="16"/>
                              </w:rPr>
                              <w:drawing>
                                <wp:inline distT="0" distB="0" distL="0" distR="0" wp14:anchorId="22203492" wp14:editId="488D9669">
                                  <wp:extent cx="532800" cy="266400"/>
                                  <wp:effectExtent l="38100" t="38100" r="38735" b="3873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28A0092B-C50C-407E-A947-70E740481C1C}">
                                                <a14:useLocalDpi xmlns:a14="http://schemas.microsoft.com/office/drawing/2010/main" val="0"/>
                                              </a:ext>
                                            </a:extLst>
                                          </a:blip>
                                          <a:stretch>
                                            <a:fillRect/>
                                          </a:stretch>
                                        </pic:blipFill>
                                        <pic:spPr>
                                          <a:xfrm>
                                            <a:off x="0" y="0"/>
                                            <a:ext cx="532800" cy="266400"/>
                                          </a:xfrm>
                                          <a:prstGeom prst="rect">
                                            <a:avLst/>
                                          </a:prstGeom>
                                          <a:solidFill>
                                            <a:schemeClr val="lt1"/>
                                          </a:solidFill>
                                          <a:effectLst>
                                            <a:glow rad="25400">
                                              <a:schemeClr val="accent1">
                                                <a:alpha val="40000"/>
                                              </a:schemeClr>
                                            </a:glow>
                                          </a:effectLst>
                                        </pic:spPr>
                                      </pic:pic>
                                    </a:graphicData>
                                  </a:graphic>
                                </wp:inline>
                              </w:drawing>
                            </w:r>
                          </w:p>
                        </w:txbxContent>
                      </v:textbox>
                    </v:shape>
                    <v:shape id="13 Cuadro de texto" o:spid="_x0000_s1035" type="#_x0000_t202" style="position:absolute;left:127;top:3640;width:757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D539D0" w:rsidRDefault="00DD4291" w:rsidP="00D539D0">
                            <w:r>
                              <w:rPr>
                                <w:noProof/>
                              </w:rPr>
                              <w:drawing>
                                <wp:inline distT="0" distB="0" distL="0" distR="0" wp14:anchorId="6FD4B714" wp14:editId="4E807AB1">
                                  <wp:extent cx="568325" cy="253365"/>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L-2.jpg"/>
                                          <pic:cNvPicPr/>
                                        </pic:nvPicPr>
                                        <pic:blipFill>
                                          <a:blip r:embed="rId15">
                                            <a:extLst>
                                              <a:ext uri="{28A0092B-C50C-407E-A947-70E740481C1C}">
                                                <a14:useLocalDpi xmlns:a14="http://schemas.microsoft.com/office/drawing/2010/main" val="0"/>
                                              </a:ext>
                                            </a:extLst>
                                          </a:blip>
                                          <a:stretch>
                                            <a:fillRect/>
                                          </a:stretch>
                                        </pic:blipFill>
                                        <pic:spPr>
                                          <a:xfrm>
                                            <a:off x="0" y="0"/>
                                            <a:ext cx="568325" cy="253365"/>
                                          </a:xfrm>
                                          <a:prstGeom prst="rect">
                                            <a:avLst/>
                                          </a:prstGeom>
                                        </pic:spPr>
                                      </pic:pic>
                                    </a:graphicData>
                                  </a:graphic>
                                </wp:inline>
                              </w:drawing>
                            </w:r>
                          </w:p>
                        </w:txbxContent>
                      </v:textbox>
                    </v:shape>
                  </v:group>
                  <v:group id="23 Grupo" o:spid="_x0000_s1036" style="position:absolute;left:38814;top:952;width:11468;height:7322" coordsize="11468,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7 Cuadro de texto" o:spid="_x0000_s1037" type="#_x0000_t202" style="position:absolute;left:1571;width:833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539D0" w:rsidRDefault="00D539D0" w:rsidP="00D539D0">
                            <w:r>
                              <w:rPr>
                                <w:noProof/>
                              </w:rPr>
                              <w:drawing>
                                <wp:inline distT="0" distB="0" distL="0" distR="0" wp14:anchorId="07AC78CC" wp14:editId="7EA2E4DA">
                                  <wp:extent cx="608400" cy="270000"/>
                                  <wp:effectExtent l="0" t="0" r="127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mat_couleur0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400" cy="270000"/>
                                          </a:xfrm>
                                          <a:prstGeom prst="rect">
                                            <a:avLst/>
                                          </a:prstGeom>
                                        </pic:spPr>
                                      </pic:pic>
                                    </a:graphicData>
                                  </a:graphic>
                                </wp:inline>
                              </w:drawing>
                            </w:r>
                          </w:p>
                        </w:txbxContent>
                      </v:textbox>
                    </v:shape>
                    <v:shape id="12 Cuadro de texto" o:spid="_x0000_s1038" type="#_x0000_t202" style="position:absolute;top:3048;width:114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539D0" w:rsidRDefault="005B36CD" w:rsidP="00D539D0">
                            <w:r>
                              <w:rPr>
                                <w:noProof/>
                              </w:rPr>
                              <w:drawing>
                                <wp:inline distT="0" distB="0" distL="0" distR="0" wp14:anchorId="77080311" wp14:editId="096A94D8">
                                  <wp:extent cx="957580" cy="304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_bordeaux-montaigne_2014_logo.jpg"/>
                                          <pic:cNvPicPr/>
                                        </pic:nvPicPr>
                                        <pic:blipFill>
                                          <a:blip r:embed="rId17">
                                            <a:extLst>
                                              <a:ext uri="{28A0092B-C50C-407E-A947-70E740481C1C}">
                                                <a14:useLocalDpi xmlns:a14="http://schemas.microsoft.com/office/drawing/2010/main" val="0"/>
                                              </a:ext>
                                            </a:extLst>
                                          </a:blip>
                                          <a:stretch>
                                            <a:fillRect/>
                                          </a:stretch>
                                        </pic:blipFill>
                                        <pic:spPr>
                                          <a:xfrm>
                                            <a:off x="0" y="0"/>
                                            <a:ext cx="957580" cy="304800"/>
                                          </a:xfrm>
                                          <a:prstGeom prst="rect">
                                            <a:avLst/>
                                          </a:prstGeom>
                                        </pic:spPr>
                                      </pic:pic>
                                    </a:graphicData>
                                  </a:graphic>
                                </wp:inline>
                              </w:drawing>
                            </w:r>
                          </w:p>
                        </w:txbxContent>
                      </v:textbox>
                    </v:shape>
                  </v:group>
                  <v:shape id="19 Cuadro de texto" o:spid="_x0000_s1039" type="#_x0000_t202" style="position:absolute;left:56245;top:952;width:7023;height:7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D539D0" w:rsidRDefault="00D539D0" w:rsidP="00D539D0">
                          <w:r>
                            <w:rPr>
                              <w:noProof/>
                            </w:rPr>
                            <w:drawing>
                              <wp:inline distT="0" distB="0" distL="0" distR="0" wp14:anchorId="6EA432F3" wp14:editId="2C43759C">
                                <wp:extent cx="571643" cy="562570"/>
                                <wp:effectExtent l="0" t="0" r="0" b="952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if neu Bla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086" cy="564975"/>
                                        </a:xfrm>
                                        <a:prstGeom prst="rect">
                                          <a:avLst/>
                                        </a:prstGeom>
                                      </pic:spPr>
                                    </pic:pic>
                                  </a:graphicData>
                                </a:graphic>
                              </wp:inline>
                            </w:drawing>
                          </w:r>
                        </w:p>
                      </w:txbxContent>
                    </v:textbox>
                  </v:shape>
                  <v:group id="18 Grupo" o:spid="_x0000_s1040" style="position:absolute;top:666;width:13544;height:7999" coordsize="13544,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15 Cuadro de texto" o:spid="_x0000_s1041" type="#_x0000_t202" style="position:absolute;left:296;top:4230;width:11007;height:3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E423AF" w:rsidRDefault="00C402E8">
                            <w:r>
                              <w:rPr>
                                <w:noProof/>
                              </w:rPr>
                              <w:drawing>
                                <wp:inline distT="0" distB="0" distL="0" distR="0" wp14:anchorId="38B3A78F" wp14:editId="5F2FE034">
                                  <wp:extent cx="810000" cy="25560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VELAZQUEZ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0000" cy="255600"/>
                                          </a:xfrm>
                                          <a:prstGeom prst="rect">
                                            <a:avLst/>
                                          </a:prstGeom>
                                        </pic:spPr>
                                      </pic:pic>
                                    </a:graphicData>
                                  </a:graphic>
                                </wp:inline>
                              </w:drawing>
                            </w:r>
                          </w:p>
                        </w:txbxContent>
                      </v:textbox>
                    </v:shape>
                    <v:shape id="10 Cuadro de texto" o:spid="_x0000_s1042" type="#_x0000_t202" style="position:absolute;width:13544;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CF3964" w:rsidRDefault="00CF3964" w:rsidP="00CF3964">
                            <w:pPr>
                              <w:ind w:left="-142"/>
                            </w:pPr>
                            <w:r>
                              <w:rPr>
                                <w:noProof/>
                              </w:rPr>
                              <w:drawing>
                                <wp:inline distT="0" distB="0" distL="0" distR="0" wp14:anchorId="0A5B1743" wp14:editId="63982819">
                                  <wp:extent cx="1164166" cy="394911"/>
                                  <wp:effectExtent l="0" t="0" r="0" b="571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Arqueológico de Asturias. Negativo cop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5538" cy="395377"/>
                                          </a:xfrm>
                                          <a:prstGeom prst="rect">
                                            <a:avLst/>
                                          </a:prstGeom>
                                        </pic:spPr>
                                      </pic:pic>
                                    </a:graphicData>
                                  </a:graphic>
                                </wp:inline>
                              </w:drawing>
                            </w:r>
                          </w:p>
                        </w:txbxContent>
                      </v:textbox>
                    </v:shape>
                  </v:group>
                </v:group>
              </w:pict>
            </mc:Fallback>
          </mc:AlternateContent>
        </w:r>
      </w:p>
      <w:p w:rsidR="00D539D0" w:rsidRDefault="00D539D0" w:rsidP="00D539D0">
        <w:pPr>
          <w:pStyle w:val="Piedepgina"/>
          <w:jc w:val="center"/>
        </w:pPr>
      </w:p>
      <w:p w:rsidR="00C53759" w:rsidRDefault="00747EC7" w:rsidP="00C402E8">
        <w:pPr>
          <w:pStyle w:val="Piedepgina"/>
          <w:ind w:left="5828" w:right="-257" w:firstLine="3532"/>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D4" w:rsidRDefault="003842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C7" w:rsidRDefault="00747EC7">
      <w:pPr>
        <w:spacing w:after="0" w:line="240" w:lineRule="auto"/>
      </w:pPr>
      <w:r>
        <w:separator/>
      </w:r>
    </w:p>
  </w:footnote>
  <w:footnote w:type="continuationSeparator" w:id="0">
    <w:p w:rsidR="00747EC7" w:rsidRDefault="00747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D4" w:rsidRDefault="003842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A0" w:rsidRDefault="004973E2" w:rsidP="004973E2">
    <w:pPr>
      <w:pBdr>
        <w:top w:val="nil"/>
        <w:left w:val="nil"/>
        <w:bottom w:val="nil"/>
        <w:right w:val="nil"/>
        <w:between w:val="nil"/>
      </w:pBdr>
      <w:tabs>
        <w:tab w:val="left" w:pos="2356"/>
        <w:tab w:val="right" w:pos="9639"/>
      </w:tabs>
      <w:spacing w:after="0"/>
      <w:ind w:left="-567" w:right="-569"/>
      <w:jc w:val="center"/>
      <w:rPr>
        <w:rFonts w:ascii="Garamond" w:eastAsia="Garamond" w:hAnsi="Garamond" w:cs="Garamond"/>
        <w:color w:val="000000"/>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5458DCF" wp14:editId="085E3736">
              <wp:simplePos x="0" y="0"/>
              <wp:positionH relativeFrom="column">
                <wp:posOffset>-457200</wp:posOffset>
              </wp:positionH>
              <wp:positionV relativeFrom="paragraph">
                <wp:posOffset>-142875</wp:posOffset>
              </wp:positionV>
              <wp:extent cx="981075" cy="12052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981075" cy="1205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2D4" w:rsidRDefault="003842D4" w:rsidP="003842D4">
                          <w:bookmarkStart w:id="8" w:name="_GoBack"/>
                          <w:r>
                            <w:rPr>
                              <w:noProof/>
                              <w:sz w:val="20"/>
                              <w:szCs w:val="20"/>
                            </w:rPr>
                            <w:drawing>
                              <wp:inline distT="0" distB="0" distL="0" distR="0" wp14:anchorId="183704F4" wp14:editId="11C5C7B4">
                                <wp:extent cx="831215" cy="1056005"/>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1056005"/>
                                        </a:xfrm>
                                        <a:prstGeom prst="rect">
                                          <a:avLst/>
                                        </a:prstGeom>
                                        <a:noFill/>
                                        <a:ln>
                                          <a:noFill/>
                                        </a:ln>
                                      </pic:spPr>
                                    </pic:pic>
                                  </a:graphicData>
                                </a:graphic>
                              </wp:inline>
                            </w:drawing>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left:0;text-align:left;margin-left:-36pt;margin-top:-11.25pt;width:77.25pt;height:9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" filled="f" stroked="f" strokeweight=".5pt">
              <v:textbox>
                <w:txbxContent>
                  <w:p w:rsidR="003842D4" w:rsidRDefault="003842D4" w:rsidP="003842D4">
                    <w:bookmarkStart w:id="9" w:name="_GoBack"/>
                    <w:r>
                      <w:rPr>
                        <w:noProof/>
                        <w:sz w:val="20"/>
                        <w:szCs w:val="20"/>
                      </w:rPr>
                      <w:drawing>
                        <wp:inline distT="0" distB="0" distL="0" distR="0" wp14:anchorId="183704F4" wp14:editId="11C5C7B4">
                          <wp:extent cx="831215" cy="1056005"/>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1056005"/>
                                  </a:xfrm>
                                  <a:prstGeom prst="rect">
                                    <a:avLst/>
                                  </a:prstGeom>
                                  <a:noFill/>
                                  <a:ln>
                                    <a:noFill/>
                                  </a:ln>
                                </pic:spPr>
                              </pic:pic>
                            </a:graphicData>
                          </a:graphic>
                        </wp:inline>
                      </w:drawing>
                    </w:r>
                    <w:bookmarkEnd w:id="9"/>
                  </w:p>
                </w:txbxContent>
              </v:textbox>
            </v:shape>
          </w:pict>
        </mc:Fallback>
      </mc:AlternateContent>
    </w:r>
    <w:r>
      <w:rPr>
        <w:noProof/>
        <w:color w:val="000000"/>
      </w:rPr>
      <mc:AlternateContent>
        <mc:Choice Requires="wps">
          <w:drawing>
            <wp:anchor distT="0" distB="0" distL="114300" distR="114300" simplePos="0" relativeHeight="251667456" behindDoc="0" locked="0" layoutInCell="1" allowOverlap="1" wp14:anchorId="50984BB0" wp14:editId="7D9C6E6F">
              <wp:simplePos x="0" y="0"/>
              <wp:positionH relativeFrom="column">
                <wp:posOffset>3258820</wp:posOffset>
              </wp:positionH>
              <wp:positionV relativeFrom="paragraph">
                <wp:posOffset>120592</wp:posOffset>
              </wp:positionV>
              <wp:extent cx="2926080" cy="70612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2926080" cy="706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73E2" w:rsidRDefault="004973E2">
                          <w:r>
                            <w:rPr>
                              <w:noProof/>
                            </w:rPr>
                            <w:drawing>
                              <wp:inline distT="0" distB="0" distL="0" distR="0" wp14:anchorId="22162E12" wp14:editId="47F23E7B">
                                <wp:extent cx="2739390" cy="581660"/>
                                <wp:effectExtent l="0" t="0" r="3810" b="889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XON CULTURA Y EDUCACION 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39390" cy="581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left:0;text-align:left;margin-left:256.6pt;margin-top:9.5pt;width:230.4pt;height:5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" filled="f" stroked="f" strokeweight=".5pt">
              <v:textbox>
                <w:txbxContent>
                  <w:p w:rsidR="004973E2" w:rsidRDefault="004973E2">
                    <w:r>
                      <w:rPr>
                        <w:noProof/>
                      </w:rPr>
                      <w:drawing>
                        <wp:inline distT="0" distB="0" distL="0" distR="0" wp14:anchorId="22162E12" wp14:editId="47F23E7B">
                          <wp:extent cx="2739390" cy="581660"/>
                          <wp:effectExtent l="0" t="0" r="3810" b="889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XON CULTURA Y EDUCACION 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39390" cy="581660"/>
                                  </a:xfrm>
                                  <a:prstGeom prst="rect">
                                    <a:avLst/>
                                  </a:prstGeom>
                                </pic:spPr>
                              </pic:pic>
                            </a:graphicData>
                          </a:graphic>
                        </wp:inline>
                      </w:drawing>
                    </w:r>
                  </w:p>
                </w:txbxContent>
              </v:textbox>
            </v:shape>
          </w:pict>
        </mc:Fallback>
      </mc:AlternateContent>
    </w:r>
    <w:sdt>
      <w:sdtPr>
        <w:rPr>
          <w:rFonts w:ascii="Garamond" w:eastAsia="Garamond" w:hAnsi="Garamond" w:cs="Garamond"/>
          <w:color w:val="000000"/>
        </w:rPr>
        <w:id w:val="1249928384"/>
        <w:docPartObj>
          <w:docPartGallery w:val="Page Numbers (Margins)"/>
          <w:docPartUnique/>
        </w:docPartObj>
      </w:sdtPr>
      <w:sdtEndPr/>
      <w:sdtContent>
        <w:r w:rsidR="00A74F4C" w:rsidRPr="00A74F4C">
          <w:rPr>
            <w:rFonts w:ascii="Garamond" w:eastAsia="Garamond" w:hAnsi="Garamond" w:cs="Garamond"/>
            <w:noProof/>
            <w:color w:val="000000"/>
          </w:rPr>
          <mc:AlternateContent>
            <mc:Choice Requires="wps">
              <w:drawing>
                <wp:anchor distT="0" distB="0" distL="114300" distR="114300" simplePos="0" relativeHeight="251663360" behindDoc="0" locked="0" layoutInCell="0" allowOverlap="1" wp14:anchorId="6D33C63E" wp14:editId="76491A87">
                  <wp:simplePos x="0" y="0"/>
                  <wp:positionH relativeFrom="leftMargin">
                    <wp:align>left</wp:align>
                  </wp:positionH>
                  <wp:positionV relativeFrom="margin">
                    <wp:align>center</wp:align>
                  </wp:positionV>
                  <wp:extent cx="727710" cy="329565"/>
                  <wp:effectExtent l="0" t="0" r="3810" b="3810"/>
                  <wp:wrapNone/>
                  <wp:docPr id="54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74F4C" w:rsidRDefault="00A74F4C">
                              <w:pPr>
                                <w:pBdr>
                                  <w:bottom w:val="single" w:sz="4" w:space="1" w:color="auto"/>
                                </w:pBdr>
                                <w:jc w:val="right"/>
                              </w:pPr>
                              <w:r>
                                <w:fldChar w:fldCharType="begin"/>
                              </w:r>
                              <w:r>
                                <w:instrText>PAGE   \* MERGEFORMAT</w:instrText>
                              </w:r>
                              <w:r>
                                <w:fldChar w:fldCharType="separate"/>
                              </w:r>
                              <w:r w:rsidR="00747EC7">
                                <w:rPr>
                                  <w:noProof/>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ángulo 4" o:spid="_x0000_s1028" style="position:absolute;left:0;text-align:left;margin-left:0;margin-top:0;width:57.3pt;height:25.95pt;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G9ZKDSAAgAA&#10;+AQAAA4AAAAAAAAAAAAAAAAALgIAAGRycy9lMm9Eb2MueG1sUEsBAi0AFAAGAAgAAAAhAHGmhoPc&#10;AAAABAEAAA8AAAAAAAAAAAAAAAAA2gQAAGRycy9kb3ducmV2LnhtbFBLBQYAAAAABAAEAPMAAADj&#10;BQAAAAA=&#10;" o:allowincell="f" stroked="f">
                  <v:textbox>
                    <w:txbxContent>
                      <w:p w:rsidR="00A74F4C" w:rsidRDefault="00A74F4C">
                        <w:pPr>
                          <w:pBdr>
                            <w:bottom w:val="single" w:sz="4" w:space="1" w:color="auto"/>
                          </w:pBdr>
                          <w:jc w:val="right"/>
                        </w:pPr>
                        <w:r>
                          <w:fldChar w:fldCharType="begin"/>
                        </w:r>
                        <w:r>
                          <w:instrText>PAGE   \* MERGEFORMAT</w:instrText>
                        </w:r>
                        <w:r>
                          <w:fldChar w:fldCharType="separate"/>
                        </w:r>
                        <w:r w:rsidR="00747EC7">
                          <w:rPr>
                            <w:noProof/>
                          </w:rPr>
                          <w:t>1</w:t>
                        </w:r>
                        <w:r>
                          <w:fldChar w:fldCharType="end"/>
                        </w:r>
                      </w:p>
                    </w:txbxContent>
                  </v:textbox>
                  <w10:wrap anchorx="margin" anchory="margin"/>
                </v:rect>
              </w:pict>
            </mc:Fallback>
          </mc:AlternateContent>
        </w:r>
      </w:sdtContent>
    </w:sdt>
    <w:r w:rsidR="00A8477D">
      <w:rPr>
        <w:rFonts w:ascii="Garamond" w:eastAsia="Garamond" w:hAnsi="Garamond" w:cs="Garamond"/>
        <w:color w:val="000000"/>
      </w:rPr>
      <w:tab/>
    </w:r>
    <w:r>
      <w:rPr>
        <w:rFonts w:ascii="Garamond" w:eastAsia="Garamond" w:hAnsi="Garamond" w:cs="Garamond"/>
        <w:color w:val="000000"/>
      </w:rPr>
      <w:tab/>
    </w:r>
  </w:p>
  <w:p w:rsidR="006A58A0" w:rsidRDefault="006A58A0" w:rsidP="0012778D">
    <w:pPr>
      <w:pBdr>
        <w:top w:val="nil"/>
        <w:left w:val="nil"/>
        <w:bottom w:val="nil"/>
        <w:right w:val="nil"/>
        <w:between w:val="nil"/>
      </w:pBdr>
      <w:tabs>
        <w:tab w:val="center" w:pos="4252"/>
        <w:tab w:val="right" w:pos="8504"/>
      </w:tabs>
      <w:spacing w:after="0" w:line="240" w:lineRule="auto"/>
      <w:rPr>
        <w:color w:val="000000"/>
      </w:rPr>
    </w:pPr>
  </w:p>
  <w:p w:rsidR="00494909" w:rsidRDefault="00494909" w:rsidP="0012778D">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D4" w:rsidRDefault="003842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90E4D"/>
    <w:multiLevelType w:val="hybridMultilevel"/>
    <w:tmpl w:val="84A4F5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A58A0"/>
    <w:rsid w:val="00006534"/>
    <w:rsid w:val="00035281"/>
    <w:rsid w:val="00063C82"/>
    <w:rsid w:val="000D6D18"/>
    <w:rsid w:val="000F055B"/>
    <w:rsid w:val="000F5FC4"/>
    <w:rsid w:val="0012778D"/>
    <w:rsid w:val="00135DAC"/>
    <w:rsid w:val="00176858"/>
    <w:rsid w:val="00180F9A"/>
    <w:rsid w:val="00186385"/>
    <w:rsid w:val="001B4B89"/>
    <w:rsid w:val="001E22BB"/>
    <w:rsid w:val="00277FD5"/>
    <w:rsid w:val="003842D4"/>
    <w:rsid w:val="0039433A"/>
    <w:rsid w:val="003F444E"/>
    <w:rsid w:val="0043645B"/>
    <w:rsid w:val="004367A5"/>
    <w:rsid w:val="004561AF"/>
    <w:rsid w:val="004627A5"/>
    <w:rsid w:val="00494909"/>
    <w:rsid w:val="004973E2"/>
    <w:rsid w:val="004E0A39"/>
    <w:rsid w:val="005011E2"/>
    <w:rsid w:val="0051609A"/>
    <w:rsid w:val="005535B6"/>
    <w:rsid w:val="00560407"/>
    <w:rsid w:val="005B36CD"/>
    <w:rsid w:val="0060540E"/>
    <w:rsid w:val="00605903"/>
    <w:rsid w:val="00676C62"/>
    <w:rsid w:val="00685B71"/>
    <w:rsid w:val="006A58A0"/>
    <w:rsid w:val="00747EC7"/>
    <w:rsid w:val="007757B3"/>
    <w:rsid w:val="0078293F"/>
    <w:rsid w:val="00795EAE"/>
    <w:rsid w:val="00802DFD"/>
    <w:rsid w:val="00842EC1"/>
    <w:rsid w:val="00897CAC"/>
    <w:rsid w:val="008E4BF9"/>
    <w:rsid w:val="009143C6"/>
    <w:rsid w:val="0093406F"/>
    <w:rsid w:val="009A33D2"/>
    <w:rsid w:val="009E5D65"/>
    <w:rsid w:val="009F14D0"/>
    <w:rsid w:val="00A26302"/>
    <w:rsid w:val="00A74F4C"/>
    <w:rsid w:val="00A8477D"/>
    <w:rsid w:val="00A92012"/>
    <w:rsid w:val="00AD51D3"/>
    <w:rsid w:val="00B70B4E"/>
    <w:rsid w:val="00B85580"/>
    <w:rsid w:val="00C402E8"/>
    <w:rsid w:val="00C53759"/>
    <w:rsid w:val="00C93B22"/>
    <w:rsid w:val="00CC7C8B"/>
    <w:rsid w:val="00CD74B8"/>
    <w:rsid w:val="00CE29A1"/>
    <w:rsid w:val="00CF3964"/>
    <w:rsid w:val="00D062EA"/>
    <w:rsid w:val="00D539D0"/>
    <w:rsid w:val="00DB1835"/>
    <w:rsid w:val="00DD2BD4"/>
    <w:rsid w:val="00DD4291"/>
    <w:rsid w:val="00E32566"/>
    <w:rsid w:val="00E423AF"/>
    <w:rsid w:val="00E707DB"/>
    <w:rsid w:val="00E8471E"/>
    <w:rsid w:val="00EF5159"/>
    <w:rsid w:val="00F6086F"/>
    <w:rsid w:val="00F74D0F"/>
    <w:rsid w:val="00FF33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78A"/>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customStyle="1" w:styleId="Normal1">
    <w:name w:val="Normal1"/>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66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6688"/>
  </w:style>
  <w:style w:type="paragraph" w:styleId="Piedepgina">
    <w:name w:val="footer"/>
    <w:basedOn w:val="Normal"/>
    <w:link w:val="PiedepginaCar"/>
    <w:uiPriority w:val="99"/>
    <w:unhideWhenUsed/>
    <w:rsid w:val="005866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6688"/>
  </w:style>
  <w:style w:type="paragraph" w:styleId="Textodeglobo">
    <w:name w:val="Balloon Text"/>
    <w:basedOn w:val="Normal"/>
    <w:link w:val="TextodegloboCar"/>
    <w:uiPriority w:val="99"/>
    <w:semiHidden/>
    <w:unhideWhenUsed/>
    <w:rsid w:val="00E12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111"/>
    <w:rPr>
      <w:rFonts w:ascii="Tahoma" w:hAnsi="Tahoma" w:cs="Tahoma"/>
      <w:sz w:val="16"/>
      <w:szCs w:val="16"/>
    </w:rPr>
  </w:style>
  <w:style w:type="character" w:styleId="Hipervnculo">
    <w:name w:val="Hyperlink"/>
    <w:basedOn w:val="Fuentedeprrafopredeter"/>
    <w:uiPriority w:val="99"/>
    <w:unhideWhenUsed/>
    <w:rsid w:val="00A96916"/>
    <w:rPr>
      <w:color w:val="0000FF" w:themeColor="hyperlink"/>
      <w:u w:val="single"/>
    </w:rPr>
  </w:style>
  <w:style w:type="character" w:styleId="Refdecomentario">
    <w:name w:val="annotation reference"/>
    <w:basedOn w:val="Fuentedeprrafopredeter"/>
    <w:uiPriority w:val="99"/>
    <w:semiHidden/>
    <w:unhideWhenUsed/>
    <w:rsid w:val="004E5717"/>
    <w:rPr>
      <w:sz w:val="18"/>
      <w:szCs w:val="18"/>
    </w:rPr>
  </w:style>
  <w:style w:type="paragraph" w:styleId="Textocomentario">
    <w:name w:val="annotation text"/>
    <w:basedOn w:val="Normal"/>
    <w:link w:val="TextocomentarioCar"/>
    <w:uiPriority w:val="99"/>
    <w:semiHidden/>
    <w:unhideWhenUsed/>
    <w:rsid w:val="004E571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4E5717"/>
    <w:rPr>
      <w:sz w:val="24"/>
      <w:szCs w:val="24"/>
    </w:rPr>
  </w:style>
  <w:style w:type="paragraph" w:styleId="Asuntodelcomentario">
    <w:name w:val="annotation subject"/>
    <w:basedOn w:val="Textocomentario"/>
    <w:next w:val="Textocomentario"/>
    <w:link w:val="AsuntodelcomentarioCar"/>
    <w:uiPriority w:val="99"/>
    <w:semiHidden/>
    <w:unhideWhenUsed/>
    <w:rsid w:val="004E5717"/>
    <w:rPr>
      <w:b/>
      <w:bCs/>
      <w:sz w:val="20"/>
      <w:szCs w:val="20"/>
    </w:rPr>
  </w:style>
  <w:style w:type="character" w:customStyle="1" w:styleId="AsuntodelcomentarioCar">
    <w:name w:val="Asunto del comentario Car"/>
    <w:basedOn w:val="TextocomentarioCar"/>
    <w:link w:val="Asuntodelcomentario"/>
    <w:uiPriority w:val="99"/>
    <w:semiHidden/>
    <w:rsid w:val="004E5717"/>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897CAC"/>
    <w:pPr>
      <w:spacing w:line="240" w:lineRule="auto"/>
      <w:ind w:left="720"/>
      <w:contextualSpacing/>
      <w:jc w:val="both"/>
    </w:pPr>
    <w:rPr>
      <w:rFonts w:ascii="Times New Roman" w:eastAsia="Times New Roman" w:hAnsi="Times New Roman" w:cs="Times New Roman"/>
      <w:sz w:val="24"/>
      <w:szCs w:val="24"/>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78A"/>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rPr>
  </w:style>
  <w:style w:type="paragraph" w:styleId="Ttulo6">
    <w:name w:val="heading 6"/>
    <w:basedOn w:val="Normal1"/>
    <w:next w:val="Normal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pPr>
      <w:keepNext/>
      <w:keepLines/>
      <w:spacing w:before="480" w:after="120"/>
    </w:pPr>
    <w:rPr>
      <w:b/>
      <w:sz w:val="72"/>
      <w:szCs w:val="72"/>
    </w:rPr>
  </w:style>
  <w:style w:type="paragraph" w:customStyle="1" w:styleId="Normal1">
    <w:name w:val="Normal1"/>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66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6688"/>
  </w:style>
  <w:style w:type="paragraph" w:styleId="Piedepgina">
    <w:name w:val="footer"/>
    <w:basedOn w:val="Normal"/>
    <w:link w:val="PiedepginaCar"/>
    <w:uiPriority w:val="99"/>
    <w:unhideWhenUsed/>
    <w:rsid w:val="005866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6688"/>
  </w:style>
  <w:style w:type="paragraph" w:styleId="Textodeglobo">
    <w:name w:val="Balloon Text"/>
    <w:basedOn w:val="Normal"/>
    <w:link w:val="TextodegloboCar"/>
    <w:uiPriority w:val="99"/>
    <w:semiHidden/>
    <w:unhideWhenUsed/>
    <w:rsid w:val="00E12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111"/>
    <w:rPr>
      <w:rFonts w:ascii="Tahoma" w:hAnsi="Tahoma" w:cs="Tahoma"/>
      <w:sz w:val="16"/>
      <w:szCs w:val="16"/>
    </w:rPr>
  </w:style>
  <w:style w:type="character" w:styleId="Hipervnculo">
    <w:name w:val="Hyperlink"/>
    <w:basedOn w:val="Fuentedeprrafopredeter"/>
    <w:uiPriority w:val="99"/>
    <w:unhideWhenUsed/>
    <w:rsid w:val="00A96916"/>
    <w:rPr>
      <w:color w:val="0000FF" w:themeColor="hyperlink"/>
      <w:u w:val="single"/>
    </w:rPr>
  </w:style>
  <w:style w:type="character" w:styleId="Refdecomentario">
    <w:name w:val="annotation reference"/>
    <w:basedOn w:val="Fuentedeprrafopredeter"/>
    <w:uiPriority w:val="99"/>
    <w:semiHidden/>
    <w:unhideWhenUsed/>
    <w:rsid w:val="004E5717"/>
    <w:rPr>
      <w:sz w:val="18"/>
      <w:szCs w:val="18"/>
    </w:rPr>
  </w:style>
  <w:style w:type="paragraph" w:styleId="Textocomentario">
    <w:name w:val="annotation text"/>
    <w:basedOn w:val="Normal"/>
    <w:link w:val="TextocomentarioCar"/>
    <w:uiPriority w:val="99"/>
    <w:semiHidden/>
    <w:unhideWhenUsed/>
    <w:rsid w:val="004E571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4E5717"/>
    <w:rPr>
      <w:sz w:val="24"/>
      <w:szCs w:val="24"/>
    </w:rPr>
  </w:style>
  <w:style w:type="paragraph" w:styleId="Asuntodelcomentario">
    <w:name w:val="annotation subject"/>
    <w:basedOn w:val="Textocomentario"/>
    <w:next w:val="Textocomentario"/>
    <w:link w:val="AsuntodelcomentarioCar"/>
    <w:uiPriority w:val="99"/>
    <w:semiHidden/>
    <w:unhideWhenUsed/>
    <w:rsid w:val="004E5717"/>
    <w:rPr>
      <w:b/>
      <w:bCs/>
      <w:sz w:val="20"/>
      <w:szCs w:val="20"/>
    </w:rPr>
  </w:style>
  <w:style w:type="character" w:customStyle="1" w:styleId="AsuntodelcomentarioCar">
    <w:name w:val="Asunto del comentario Car"/>
    <w:basedOn w:val="TextocomentarioCar"/>
    <w:link w:val="Asuntodelcomentario"/>
    <w:uiPriority w:val="99"/>
    <w:semiHidden/>
    <w:rsid w:val="004E5717"/>
    <w:rPr>
      <w:b/>
      <w:bCs/>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897CAC"/>
    <w:pPr>
      <w:spacing w:line="240" w:lineRule="auto"/>
      <w:ind w:left="720"/>
      <w:contextualSpacing/>
      <w:jc w:val="both"/>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mailto:afeaf.gijon@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0.jpg"/><Relationship Id="rId18" Type="http://schemas.openxmlformats.org/officeDocument/2006/relationships/image" Target="media/image100.jpg"/><Relationship Id="rId3" Type="http://schemas.openxmlformats.org/officeDocument/2006/relationships/image" Target="media/image5.jpg"/><Relationship Id="rId7" Type="http://schemas.openxmlformats.org/officeDocument/2006/relationships/image" Target="media/image9.jpg"/><Relationship Id="rId12" Type="http://schemas.openxmlformats.org/officeDocument/2006/relationships/image" Target="media/image40.png"/><Relationship Id="rId17" Type="http://schemas.openxmlformats.org/officeDocument/2006/relationships/image" Target="media/image90.jpg"/><Relationship Id="rId2" Type="http://schemas.openxmlformats.org/officeDocument/2006/relationships/image" Target="media/image4.png"/><Relationship Id="rId16" Type="http://schemas.openxmlformats.org/officeDocument/2006/relationships/image" Target="media/image80.jpg"/><Relationship Id="rId20" Type="http://schemas.openxmlformats.org/officeDocument/2006/relationships/image" Target="media/image120.jp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30.png"/><Relationship Id="rId5" Type="http://schemas.openxmlformats.org/officeDocument/2006/relationships/image" Target="media/image7.jpg"/><Relationship Id="rId15" Type="http://schemas.openxmlformats.org/officeDocument/2006/relationships/image" Target="media/image70.jpg"/><Relationship Id="rId10" Type="http://schemas.openxmlformats.org/officeDocument/2006/relationships/image" Target="media/image12.jpg"/><Relationship Id="rId19" Type="http://schemas.openxmlformats.org/officeDocument/2006/relationships/image" Target="media/image110.jpe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6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bd/Uoqo1DjaKCCeWlVuTk+OJ7w==">AMUW2mWmVOYfOcB3fPawdIj74iBT2VS7okFKcPYLUN4C1i+eixiVHAZZa8k6N7VqpG0KHjX2wqWgKakobq5IjvA1SNR5p9uiaxaYtxngG7qiaIXJKQ6tk5SK0kgDh/d5aT7lAbj9Ygc9DtY6Lee02yp3g3/8jTKgwakc96jda/qT4+ORsOw1ldomJmpyN7yFIBKpZUQcDcx+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155818-9674-4FC0-81CB-EBC0D2B1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1664</Words>
  <Characters>9152</Characters>
  <Application>Microsoft Office Word</Application>
  <DocSecurity>0</DocSecurity>
  <Lines>76</Lines>
  <Paragraphs>21</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    45  convegno internazionale dell’AFEAF- Gijón (13-15 maggio 2021)</vt:lpstr>
      <vt:lpstr>    L’EUROPA DELLE MATERIE PRIME NEL I MILLENNIO a.C.</vt:lpstr>
      <vt:lpstr>    </vt:lpstr>
      <vt:lpstr>    Sessione 1. MATERIE PRIME</vt:lpstr>
      <vt:lpstr>    Sessione 2. SISTEMI DI SFRUTTAMENTO DELLE RISORSE</vt:lpstr>
      <vt:lpstr>    Strutture legate allo sfruttamento o alla trasformazione delle materie </vt:lpstr>
      <vt:lpstr>    e impatto ambientale</vt:lpstr>
      <vt:lpstr>    </vt:lpstr>
      <vt:lpstr>    Sessione 3. CIRCOLAZIONE DELLE MATERIE E DEI PRODOTTI</vt:lpstr>
      <vt:lpstr>    Modellizzazione, caratterizzazione e organizzazione logistica </vt:lpstr>
      <vt:lpstr>    delle reti di scambio</vt:lpstr>
    </vt:vector>
  </TitlesOfParts>
  <Company/>
  <LinksUpToDate>false</LinksUpToDate>
  <CharactersWithSpaces>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VALDES</dc:creator>
  <cp:lastModifiedBy>Luis VALDES</cp:lastModifiedBy>
  <cp:revision>11</cp:revision>
  <cp:lastPrinted>2020-03-17T11:39:00Z</cp:lastPrinted>
  <dcterms:created xsi:type="dcterms:W3CDTF">2020-03-15T13:13:00Z</dcterms:created>
  <dcterms:modified xsi:type="dcterms:W3CDTF">2020-03-17T11:39:00Z</dcterms:modified>
</cp:coreProperties>
</file>